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49BCB7F7"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291584">
              <w:rPr>
                <w:b/>
                <w:caps/>
                <w:color w:val="auto"/>
              </w:rPr>
              <w:t xml:space="preserve"> </w:t>
            </w:r>
            <w:r w:rsidR="002C1549">
              <w:rPr>
                <w:b/>
                <w:caps/>
                <w:color w:val="auto"/>
              </w:rPr>
              <w:t>šiaulių kaimiškojoje</w:t>
            </w:r>
            <w:r w:rsidR="00F02DE5">
              <w:rPr>
                <w:b/>
                <w:caps/>
                <w:color w:val="auto"/>
              </w:rPr>
              <w:t xml:space="preserve"> SENIŪNIJOJE, </w:t>
            </w:r>
          </w:p>
          <w:p w14:paraId="2CA73C0B" w14:textId="0F33CA9D" w:rsidR="00FE30B4" w:rsidRDefault="007B7FF7" w:rsidP="00FE30B4">
            <w:pPr>
              <w:pStyle w:val="Antrat1"/>
              <w:tabs>
                <w:tab w:val="left" w:pos="318"/>
              </w:tabs>
              <w:ind w:right="-265"/>
              <w:jc w:val="center"/>
              <w:rPr>
                <w:b/>
                <w:caps/>
                <w:color w:val="auto"/>
              </w:rPr>
            </w:pPr>
            <w:r>
              <w:rPr>
                <w:b/>
                <w:caps/>
                <w:color w:val="auto"/>
              </w:rPr>
              <w:t>Sutkūnų</w:t>
            </w:r>
            <w:r w:rsidR="002C1549">
              <w:rPr>
                <w:b/>
                <w:caps/>
                <w:color w:val="auto"/>
              </w:rPr>
              <w:t xml:space="preserve"> 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6A8679C4"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280A9C" w:rsidRPr="00F41B33">
              <w:rPr>
                <w:color w:val="auto"/>
                <w:sz w:val="24"/>
              </w:rPr>
              <w:t xml:space="preserve"> </w:t>
            </w:r>
            <w:r w:rsidR="00FD2B69">
              <w:rPr>
                <w:color w:val="auto"/>
                <w:sz w:val="24"/>
              </w:rPr>
              <w:t>balandžio</w:t>
            </w:r>
            <w:r w:rsidR="008813C2">
              <w:rPr>
                <w:color w:val="auto"/>
                <w:sz w:val="24"/>
              </w:rPr>
              <w:t xml:space="preserve"> </w:t>
            </w:r>
            <w:r w:rsidR="00077CC0">
              <w:rPr>
                <w:color w:val="auto"/>
                <w:sz w:val="24"/>
              </w:rPr>
              <w:t>1</w:t>
            </w:r>
            <w:r w:rsidR="00A5742E">
              <w:rPr>
                <w:color w:val="auto"/>
                <w:sz w:val="24"/>
              </w:rPr>
              <w:t xml:space="preserve"> </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077CC0">
              <w:rPr>
                <w:color w:val="auto"/>
                <w:sz w:val="24"/>
              </w:rPr>
              <w:t>A-512</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45EA21DE"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9D2BF1">
        <w:rPr>
          <w:color w:val="auto"/>
          <w:szCs w:val="24"/>
        </w:rPr>
        <w:t xml:space="preserve"> kovo</w:t>
      </w:r>
      <w:r w:rsidR="00573BAC">
        <w:rPr>
          <w:color w:val="auto"/>
          <w:szCs w:val="24"/>
        </w:rPr>
        <w:t xml:space="preserve"> </w:t>
      </w:r>
      <w:r w:rsidR="009D2BF1">
        <w:rPr>
          <w:color w:val="auto"/>
          <w:szCs w:val="24"/>
        </w:rPr>
        <w:t>2</w:t>
      </w:r>
      <w:r w:rsidR="00807F6B">
        <w:rPr>
          <w:color w:val="auto"/>
          <w:szCs w:val="24"/>
        </w:rPr>
        <w:t>8</w:t>
      </w:r>
      <w:r w:rsidR="00573BAC">
        <w:rPr>
          <w:color w:val="auto"/>
          <w:szCs w:val="24"/>
        </w:rPr>
        <w:t xml:space="preserve"> d. protokolą Nr. KO-</w:t>
      </w:r>
      <w:r w:rsidR="00807F6B">
        <w:rPr>
          <w:color w:val="auto"/>
          <w:szCs w:val="24"/>
        </w:rPr>
        <w:t>65</w:t>
      </w:r>
      <w:r w:rsidR="00573BAC">
        <w:rPr>
          <w:color w:val="auto"/>
          <w:szCs w:val="24"/>
        </w:rPr>
        <w:t xml:space="preserve"> (3.48)</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 </w:t>
      </w:r>
      <w:r w:rsidR="00DB0C16">
        <w:rPr>
          <w:color w:val="auto"/>
          <w:szCs w:val="24"/>
        </w:rPr>
        <w:t xml:space="preserve">Kęstučio Jokubaičio, Vidos </w:t>
      </w:r>
      <w:proofErr w:type="spellStart"/>
      <w:r w:rsidR="00DB0C16">
        <w:rPr>
          <w:color w:val="auto"/>
          <w:szCs w:val="24"/>
        </w:rPr>
        <w:t>Jokubaitienės</w:t>
      </w:r>
      <w:proofErr w:type="spellEnd"/>
      <w:r w:rsidR="00754F00">
        <w:rPr>
          <w:color w:val="auto"/>
          <w:szCs w:val="24"/>
        </w:rPr>
        <w:t xml:space="preserve"> </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573BAC">
        <w:rPr>
          <w:color w:val="auto"/>
          <w:szCs w:val="24"/>
        </w:rPr>
        <w:t xml:space="preserve"> </w:t>
      </w:r>
      <w:r w:rsidR="009D2BF1">
        <w:rPr>
          <w:color w:val="auto"/>
          <w:szCs w:val="24"/>
        </w:rPr>
        <w:t>kovo</w:t>
      </w:r>
      <w:r w:rsidR="00A5742E">
        <w:rPr>
          <w:color w:val="auto"/>
          <w:szCs w:val="24"/>
        </w:rPr>
        <w:t xml:space="preserve"> </w:t>
      </w:r>
      <w:r w:rsidR="00DB0C16">
        <w:rPr>
          <w:color w:val="auto"/>
          <w:szCs w:val="24"/>
        </w:rPr>
        <w:t>8</w:t>
      </w:r>
      <w:r w:rsidR="00564256" w:rsidRPr="000C6F05">
        <w:rPr>
          <w:color w:val="auto"/>
          <w:szCs w:val="24"/>
        </w:rPr>
        <w:t xml:space="preserve"> d. prašymą,</w:t>
      </w:r>
    </w:p>
    <w:p w14:paraId="2C00BF92" w14:textId="107BEB60"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9D2BF1">
        <w:rPr>
          <w:color w:val="auto"/>
          <w:szCs w:val="24"/>
        </w:rPr>
        <w:t>0</w:t>
      </w:r>
      <w:r w:rsidR="002C1549">
        <w:rPr>
          <w:color w:val="auto"/>
          <w:szCs w:val="24"/>
        </w:rPr>
        <w:t>,</w:t>
      </w:r>
      <w:r w:rsidR="00DB0C16">
        <w:rPr>
          <w:color w:val="auto"/>
          <w:szCs w:val="24"/>
        </w:rPr>
        <w:t>1569</w:t>
      </w:r>
      <w:r w:rsidRPr="00F41B33">
        <w:rPr>
          <w:color w:val="auto"/>
          <w:szCs w:val="24"/>
        </w:rPr>
        <w:t xml:space="preserve"> ha ploto žemės sklypo, kurio kadastro Nr.</w:t>
      </w:r>
      <w:r w:rsidR="00AE4228">
        <w:rPr>
          <w:color w:val="auto"/>
          <w:szCs w:val="24"/>
        </w:rPr>
        <w:t xml:space="preserve"> 91</w:t>
      </w:r>
      <w:r w:rsidR="00DB0C16">
        <w:rPr>
          <w:color w:val="auto"/>
          <w:szCs w:val="24"/>
        </w:rPr>
        <w:t>03</w:t>
      </w:r>
      <w:r w:rsidR="007D0C83">
        <w:rPr>
          <w:color w:val="auto"/>
          <w:szCs w:val="24"/>
        </w:rPr>
        <w:t>/00</w:t>
      </w:r>
      <w:r w:rsidR="00223246">
        <w:rPr>
          <w:color w:val="auto"/>
          <w:szCs w:val="24"/>
        </w:rPr>
        <w:t>0</w:t>
      </w:r>
      <w:r w:rsidR="00DB0C16">
        <w:rPr>
          <w:color w:val="auto"/>
          <w:szCs w:val="24"/>
        </w:rPr>
        <w:t>5</w:t>
      </w:r>
      <w:r w:rsidR="007D0C83">
        <w:rPr>
          <w:color w:val="auto"/>
          <w:szCs w:val="24"/>
        </w:rPr>
        <w:t>:</w:t>
      </w:r>
      <w:r w:rsidR="00DB0C16">
        <w:rPr>
          <w:color w:val="auto"/>
          <w:szCs w:val="24"/>
        </w:rPr>
        <w:t>245</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6A0A26">
        <w:rPr>
          <w:color w:val="auto"/>
          <w:szCs w:val="24"/>
        </w:rPr>
        <w:t xml:space="preserve"> </w:t>
      </w:r>
      <w:r w:rsidR="002C1549">
        <w:rPr>
          <w:color w:val="auto"/>
          <w:szCs w:val="24"/>
        </w:rPr>
        <w:t>Šiaulių kaimiškojoje</w:t>
      </w:r>
      <w:r w:rsidRPr="00F41B33">
        <w:rPr>
          <w:color w:val="auto"/>
          <w:szCs w:val="24"/>
        </w:rPr>
        <w:t xml:space="preserve"> seniūnijoje,</w:t>
      </w:r>
      <w:r w:rsidR="00753F3A">
        <w:rPr>
          <w:color w:val="auto"/>
          <w:szCs w:val="24"/>
        </w:rPr>
        <w:t xml:space="preserve"> </w:t>
      </w:r>
      <w:proofErr w:type="spellStart"/>
      <w:r w:rsidR="00DB0C16">
        <w:rPr>
          <w:color w:val="auto"/>
          <w:szCs w:val="24"/>
        </w:rPr>
        <w:t>Sutkūnų</w:t>
      </w:r>
      <w:proofErr w:type="spellEnd"/>
      <w:r w:rsidR="002C1549">
        <w:rPr>
          <w:color w:val="auto"/>
          <w:szCs w:val="24"/>
        </w:rPr>
        <w:t xml:space="preserve"> 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10385079" w:rsidR="00564256" w:rsidRPr="00F41B33" w:rsidRDefault="00AE4228" w:rsidP="0041109E">
            <w:pPr>
              <w:pStyle w:val="Pagrindiniotekstotrauka"/>
              <w:snapToGrid w:val="0"/>
              <w:jc w:val="both"/>
              <w:rPr>
                <w:color w:val="auto"/>
                <w:szCs w:val="24"/>
              </w:rPr>
            </w:pPr>
            <w:r>
              <w:rPr>
                <w:color w:val="auto"/>
                <w:szCs w:val="24"/>
              </w:rPr>
              <w:t>žemės</w:t>
            </w:r>
            <w:r w:rsidR="00E744C1">
              <w:rPr>
                <w:color w:val="auto"/>
                <w:szCs w:val="24"/>
              </w:rPr>
              <w:t xml:space="preserve"> ūkio</w:t>
            </w:r>
            <w:r w:rsidR="00564256" w:rsidRPr="00F41B33">
              <w:rPr>
                <w:color w:val="auto"/>
                <w:szCs w:val="24"/>
              </w:rPr>
              <w:t xml:space="preserve">, naudojimo būdas – </w:t>
            </w:r>
            <w:r w:rsidR="0093478F">
              <w:rPr>
                <w:color w:val="auto"/>
                <w:szCs w:val="24"/>
              </w:rPr>
              <w:t>kiti žemės ūkio paskirties žemės sklypai</w:t>
            </w:r>
            <w:r w:rsidR="00E744C1">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02B323F2" w:rsidR="00564256" w:rsidRPr="00F41B33" w:rsidRDefault="00564256" w:rsidP="0041109E">
            <w:pPr>
              <w:pStyle w:val="Pagrindiniotekstotrauka"/>
              <w:snapToGrid w:val="0"/>
              <w:jc w:val="both"/>
              <w:rPr>
                <w:color w:val="auto"/>
                <w:szCs w:val="24"/>
              </w:rPr>
            </w:pPr>
            <w:r w:rsidRPr="00F41B33">
              <w:rPr>
                <w:color w:val="auto"/>
                <w:szCs w:val="24"/>
              </w:rPr>
              <w:t>į kitos paskirties žemė,</w:t>
            </w:r>
            <w:r w:rsidR="00753F3A">
              <w:rPr>
                <w:color w:val="auto"/>
                <w:szCs w:val="24"/>
              </w:rPr>
              <w:t xml:space="preserve"> </w:t>
            </w:r>
            <w:r w:rsidR="00753F3A" w:rsidRPr="00F41B33">
              <w:rPr>
                <w:color w:val="auto"/>
                <w:szCs w:val="24"/>
              </w:rPr>
              <w:t xml:space="preserve">naudojimo būdas – </w:t>
            </w:r>
            <w:r w:rsidR="00D5166D">
              <w:rPr>
                <w:color w:val="auto"/>
                <w:szCs w:val="24"/>
              </w:rPr>
              <w:t>vienbučių ir dvibučių gyvenamųjų pastatų</w:t>
            </w:r>
            <w:r w:rsidR="00753F3A">
              <w:rPr>
                <w:color w:val="auto"/>
                <w:szCs w:val="24"/>
              </w:rPr>
              <w:t xml:space="preserve"> teritorijos.</w:t>
            </w:r>
            <w:r w:rsidRPr="00F41B33">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7FC91A67" w:rsidR="00564256" w:rsidRPr="00F41B33" w:rsidRDefault="00286BEC" w:rsidP="0041109E">
            <w:pPr>
              <w:pStyle w:val="Pagrindiniotekstotrauka"/>
              <w:snapToGrid w:val="0"/>
              <w:rPr>
                <w:color w:val="auto"/>
                <w:szCs w:val="24"/>
              </w:rPr>
            </w:pPr>
            <w:r>
              <w:rPr>
                <w:color w:val="auto"/>
                <w:szCs w:val="24"/>
              </w:rPr>
              <w:t>yra bendrojo naudojimo melioracijos statiniai, kurių veikimą būtina užtikrinti nepažeidžiant trečiųjų asmenų teisių.</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B264A" w14:textId="77777777" w:rsidR="00872B7F" w:rsidRDefault="00872B7F" w:rsidP="00886BF4">
      <w:r>
        <w:separator/>
      </w:r>
    </w:p>
  </w:endnote>
  <w:endnote w:type="continuationSeparator" w:id="0">
    <w:p w14:paraId="33B592E5" w14:textId="77777777" w:rsidR="00872B7F" w:rsidRDefault="00872B7F" w:rsidP="00886BF4">
      <w:r>
        <w:continuationSeparator/>
      </w:r>
    </w:p>
  </w:endnote>
  <w:endnote w:type="continuationNotice" w:id="1">
    <w:p w14:paraId="0B90F7C3" w14:textId="77777777" w:rsidR="00872B7F" w:rsidRDefault="00872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11F33" w14:textId="77777777" w:rsidR="00872B7F" w:rsidRDefault="00872B7F" w:rsidP="00886BF4">
      <w:r>
        <w:separator/>
      </w:r>
    </w:p>
  </w:footnote>
  <w:footnote w:type="continuationSeparator" w:id="0">
    <w:p w14:paraId="22338989" w14:textId="77777777" w:rsidR="00872B7F" w:rsidRDefault="00872B7F" w:rsidP="00886BF4">
      <w:r>
        <w:continuationSeparator/>
      </w:r>
    </w:p>
  </w:footnote>
  <w:footnote w:type="continuationNotice" w:id="1">
    <w:p w14:paraId="04608D39" w14:textId="77777777" w:rsidR="00872B7F" w:rsidRDefault="00872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End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59100152">
    <w:abstractNumId w:val="1"/>
  </w:num>
  <w:num w:numId="2" w16cid:durableId="1189248785">
    <w:abstractNumId w:val="2"/>
  </w:num>
  <w:num w:numId="3" w16cid:durableId="355232152">
    <w:abstractNumId w:val="3"/>
  </w:num>
  <w:num w:numId="4" w16cid:durableId="1494250242">
    <w:abstractNumId w:val="5"/>
  </w:num>
  <w:num w:numId="5" w16cid:durableId="1769694352">
    <w:abstractNumId w:val="4"/>
  </w:num>
  <w:num w:numId="6" w16cid:durableId="673067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12B5B"/>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5719"/>
    <w:rsid w:val="00077BA5"/>
    <w:rsid w:val="00077CC0"/>
    <w:rsid w:val="00082A14"/>
    <w:rsid w:val="00087EC9"/>
    <w:rsid w:val="00092E5B"/>
    <w:rsid w:val="0009319B"/>
    <w:rsid w:val="00095566"/>
    <w:rsid w:val="000A08B8"/>
    <w:rsid w:val="000A0AD2"/>
    <w:rsid w:val="000A4B6E"/>
    <w:rsid w:val="000B0A7C"/>
    <w:rsid w:val="000B4FC8"/>
    <w:rsid w:val="000B685E"/>
    <w:rsid w:val="000C3ABC"/>
    <w:rsid w:val="000C3B69"/>
    <w:rsid w:val="000C3D2F"/>
    <w:rsid w:val="000C6F05"/>
    <w:rsid w:val="000E2C34"/>
    <w:rsid w:val="000E6CEB"/>
    <w:rsid w:val="000F0FCC"/>
    <w:rsid w:val="000F14D3"/>
    <w:rsid w:val="000F2276"/>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62BF"/>
    <w:rsid w:val="001426C5"/>
    <w:rsid w:val="0014339D"/>
    <w:rsid w:val="001464B1"/>
    <w:rsid w:val="001465B5"/>
    <w:rsid w:val="0015008E"/>
    <w:rsid w:val="0015413B"/>
    <w:rsid w:val="001740CC"/>
    <w:rsid w:val="00175C44"/>
    <w:rsid w:val="00175D73"/>
    <w:rsid w:val="00177A4A"/>
    <w:rsid w:val="00184DF0"/>
    <w:rsid w:val="00190678"/>
    <w:rsid w:val="001A0093"/>
    <w:rsid w:val="001A10B0"/>
    <w:rsid w:val="001A3647"/>
    <w:rsid w:val="001A712B"/>
    <w:rsid w:val="001B0FC3"/>
    <w:rsid w:val="001B4BB7"/>
    <w:rsid w:val="001B5799"/>
    <w:rsid w:val="001B6061"/>
    <w:rsid w:val="001B75F4"/>
    <w:rsid w:val="001B7C52"/>
    <w:rsid w:val="001C4ABB"/>
    <w:rsid w:val="001C7E2B"/>
    <w:rsid w:val="001E2C6B"/>
    <w:rsid w:val="001F33C0"/>
    <w:rsid w:val="001F45B2"/>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6BEC"/>
    <w:rsid w:val="0028798E"/>
    <w:rsid w:val="00291584"/>
    <w:rsid w:val="00293E47"/>
    <w:rsid w:val="00294476"/>
    <w:rsid w:val="002A0BA2"/>
    <w:rsid w:val="002B0EBD"/>
    <w:rsid w:val="002B31CA"/>
    <w:rsid w:val="002B54F0"/>
    <w:rsid w:val="002C1549"/>
    <w:rsid w:val="002C369C"/>
    <w:rsid w:val="002C5107"/>
    <w:rsid w:val="002D67D3"/>
    <w:rsid w:val="002D7894"/>
    <w:rsid w:val="002E140C"/>
    <w:rsid w:val="002F386B"/>
    <w:rsid w:val="002F777C"/>
    <w:rsid w:val="00300886"/>
    <w:rsid w:val="00300E7A"/>
    <w:rsid w:val="00301F9A"/>
    <w:rsid w:val="00304859"/>
    <w:rsid w:val="0031306B"/>
    <w:rsid w:val="003130FB"/>
    <w:rsid w:val="00313B48"/>
    <w:rsid w:val="003140F1"/>
    <w:rsid w:val="0031682F"/>
    <w:rsid w:val="00324D8C"/>
    <w:rsid w:val="00326377"/>
    <w:rsid w:val="0033268E"/>
    <w:rsid w:val="0033474D"/>
    <w:rsid w:val="00334CFC"/>
    <w:rsid w:val="00334D80"/>
    <w:rsid w:val="0034076C"/>
    <w:rsid w:val="003465C5"/>
    <w:rsid w:val="00351FE6"/>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794"/>
    <w:rsid w:val="003D4A45"/>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052D"/>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73A8"/>
    <w:rsid w:val="0050637E"/>
    <w:rsid w:val="00507B7E"/>
    <w:rsid w:val="00511952"/>
    <w:rsid w:val="0051332C"/>
    <w:rsid w:val="00515742"/>
    <w:rsid w:val="00516644"/>
    <w:rsid w:val="00520085"/>
    <w:rsid w:val="00521C77"/>
    <w:rsid w:val="00521F6D"/>
    <w:rsid w:val="005245C4"/>
    <w:rsid w:val="005368A5"/>
    <w:rsid w:val="00537A31"/>
    <w:rsid w:val="00551E7A"/>
    <w:rsid w:val="00552B1F"/>
    <w:rsid w:val="00554226"/>
    <w:rsid w:val="00556555"/>
    <w:rsid w:val="005569DF"/>
    <w:rsid w:val="00557EC9"/>
    <w:rsid w:val="00564256"/>
    <w:rsid w:val="00564A7E"/>
    <w:rsid w:val="0056691F"/>
    <w:rsid w:val="00567FD2"/>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225B8"/>
    <w:rsid w:val="00623D8D"/>
    <w:rsid w:val="006263B1"/>
    <w:rsid w:val="00632C45"/>
    <w:rsid w:val="006335E0"/>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D01"/>
    <w:rsid w:val="0069735F"/>
    <w:rsid w:val="006A0A26"/>
    <w:rsid w:val="006A179F"/>
    <w:rsid w:val="006A6AED"/>
    <w:rsid w:val="006A702B"/>
    <w:rsid w:val="006B3EED"/>
    <w:rsid w:val="006C1EBC"/>
    <w:rsid w:val="006C4A31"/>
    <w:rsid w:val="006D1B63"/>
    <w:rsid w:val="006D7D96"/>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B7FF7"/>
    <w:rsid w:val="007C2988"/>
    <w:rsid w:val="007C4B53"/>
    <w:rsid w:val="007C65CF"/>
    <w:rsid w:val="007D0C83"/>
    <w:rsid w:val="007D354E"/>
    <w:rsid w:val="007E0A85"/>
    <w:rsid w:val="007E5D78"/>
    <w:rsid w:val="007E67A3"/>
    <w:rsid w:val="007F2C38"/>
    <w:rsid w:val="007F39CC"/>
    <w:rsid w:val="007F7973"/>
    <w:rsid w:val="007F7A00"/>
    <w:rsid w:val="00800F9D"/>
    <w:rsid w:val="008011C5"/>
    <w:rsid w:val="00803673"/>
    <w:rsid w:val="0080386E"/>
    <w:rsid w:val="0080666D"/>
    <w:rsid w:val="00807F6B"/>
    <w:rsid w:val="00810550"/>
    <w:rsid w:val="00814F9D"/>
    <w:rsid w:val="00815758"/>
    <w:rsid w:val="008162D0"/>
    <w:rsid w:val="00817140"/>
    <w:rsid w:val="008238DE"/>
    <w:rsid w:val="00824734"/>
    <w:rsid w:val="00826D4A"/>
    <w:rsid w:val="0083090A"/>
    <w:rsid w:val="00830C74"/>
    <w:rsid w:val="008355BC"/>
    <w:rsid w:val="00835DEE"/>
    <w:rsid w:val="00842670"/>
    <w:rsid w:val="008434E3"/>
    <w:rsid w:val="00855A60"/>
    <w:rsid w:val="00857545"/>
    <w:rsid w:val="00860544"/>
    <w:rsid w:val="008679CF"/>
    <w:rsid w:val="008702B5"/>
    <w:rsid w:val="00872B7F"/>
    <w:rsid w:val="008732FD"/>
    <w:rsid w:val="0087483D"/>
    <w:rsid w:val="00876A20"/>
    <w:rsid w:val="00876F35"/>
    <w:rsid w:val="008813C2"/>
    <w:rsid w:val="008832FE"/>
    <w:rsid w:val="00885D2C"/>
    <w:rsid w:val="00886BF4"/>
    <w:rsid w:val="008874BA"/>
    <w:rsid w:val="0089020E"/>
    <w:rsid w:val="00895130"/>
    <w:rsid w:val="008953DA"/>
    <w:rsid w:val="0089738E"/>
    <w:rsid w:val="008A1DDA"/>
    <w:rsid w:val="008A2996"/>
    <w:rsid w:val="008A2F9D"/>
    <w:rsid w:val="008B000F"/>
    <w:rsid w:val="008B1E89"/>
    <w:rsid w:val="008B1EBA"/>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82738"/>
    <w:rsid w:val="00985A89"/>
    <w:rsid w:val="00986005"/>
    <w:rsid w:val="009A13B7"/>
    <w:rsid w:val="009A4643"/>
    <w:rsid w:val="009A74D8"/>
    <w:rsid w:val="009B126A"/>
    <w:rsid w:val="009B16FE"/>
    <w:rsid w:val="009B1C46"/>
    <w:rsid w:val="009B6B77"/>
    <w:rsid w:val="009B6B7E"/>
    <w:rsid w:val="009C0AC4"/>
    <w:rsid w:val="009C7D85"/>
    <w:rsid w:val="009D2BF1"/>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1D8"/>
    <w:rsid w:val="00B42DAE"/>
    <w:rsid w:val="00B42F58"/>
    <w:rsid w:val="00B467A0"/>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453B"/>
    <w:rsid w:val="00BA5793"/>
    <w:rsid w:val="00BA6466"/>
    <w:rsid w:val="00BA6897"/>
    <w:rsid w:val="00BB3DBD"/>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349D"/>
    <w:rsid w:val="00BF58EE"/>
    <w:rsid w:val="00BF67F3"/>
    <w:rsid w:val="00C00281"/>
    <w:rsid w:val="00C006BB"/>
    <w:rsid w:val="00C025C4"/>
    <w:rsid w:val="00C067F4"/>
    <w:rsid w:val="00C103FD"/>
    <w:rsid w:val="00C10659"/>
    <w:rsid w:val="00C11634"/>
    <w:rsid w:val="00C13F6F"/>
    <w:rsid w:val="00C14451"/>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2B89"/>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166D"/>
    <w:rsid w:val="00D53D81"/>
    <w:rsid w:val="00D5602B"/>
    <w:rsid w:val="00D56576"/>
    <w:rsid w:val="00D613D1"/>
    <w:rsid w:val="00D65858"/>
    <w:rsid w:val="00D74AAB"/>
    <w:rsid w:val="00D77BE8"/>
    <w:rsid w:val="00D818D2"/>
    <w:rsid w:val="00D8333B"/>
    <w:rsid w:val="00D837F2"/>
    <w:rsid w:val="00D86B82"/>
    <w:rsid w:val="00D90FF4"/>
    <w:rsid w:val="00D9403E"/>
    <w:rsid w:val="00DA022D"/>
    <w:rsid w:val="00DB0C16"/>
    <w:rsid w:val="00DB3447"/>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273F1"/>
    <w:rsid w:val="00E33E60"/>
    <w:rsid w:val="00E34041"/>
    <w:rsid w:val="00E449A0"/>
    <w:rsid w:val="00E501D9"/>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80E5B"/>
    <w:rsid w:val="00F8232C"/>
    <w:rsid w:val="00F8362B"/>
    <w:rsid w:val="00F84E07"/>
    <w:rsid w:val="00F95E7B"/>
    <w:rsid w:val="00FA3110"/>
    <w:rsid w:val="00FB1F3C"/>
    <w:rsid w:val="00FB7649"/>
    <w:rsid w:val="00FC188D"/>
    <w:rsid w:val="00FC3E84"/>
    <w:rsid w:val="00FC74A7"/>
    <w:rsid w:val="00FD0124"/>
    <w:rsid w:val="00FD1EF7"/>
    <w:rsid w:val="00FD2B69"/>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3326</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2022-04-08T12:24:00Z</dcterms:created>
  <dcterms:modified xsi:type="dcterms:W3CDTF">2022-04-08T12:24:00Z</dcterms:modified>
  <dc:language>lt-LT</dc:language>
</cp:coreProperties>
</file>