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0" w:type="dxa"/>
        <w:tblInd w:w="-1" w:type="dxa"/>
        <w:tblLayout w:type="fixed"/>
        <w:tblCellMar>
          <w:left w:w="10" w:type="dxa"/>
          <w:right w:w="10" w:type="dxa"/>
        </w:tblCellMar>
        <w:tblLook w:val="0000" w:firstRow="0" w:lastRow="0" w:firstColumn="0" w:lastColumn="0" w:noHBand="0" w:noVBand="0"/>
      </w:tblPr>
      <w:tblGrid>
        <w:gridCol w:w="9620"/>
      </w:tblGrid>
      <w:tr w:rsidR="00E837DF" w:rsidRPr="00E837DF" w14:paraId="54AC6F6C" w14:textId="77777777">
        <w:trPr>
          <w:trHeight w:val="1410"/>
        </w:trPr>
        <w:tc>
          <w:tcPr>
            <w:tcW w:w="9620" w:type="dxa"/>
            <w:shd w:val="clear" w:color="auto" w:fill="FFFFFF"/>
            <w:tcMar>
              <w:top w:w="0" w:type="dxa"/>
              <w:left w:w="108" w:type="dxa"/>
              <w:bottom w:w="0" w:type="dxa"/>
              <w:right w:w="108" w:type="dxa"/>
            </w:tcMar>
          </w:tcPr>
          <w:p w14:paraId="3A366AD0" w14:textId="77777777" w:rsidR="00775972" w:rsidRPr="00E837DF" w:rsidRDefault="004B2626">
            <w:pPr>
              <w:pStyle w:val="Antrat7"/>
              <w:widowControl w:val="0"/>
              <w:tabs>
                <w:tab w:val="left" w:pos="0"/>
              </w:tabs>
              <w:rPr>
                <w:color w:val="auto"/>
              </w:rPr>
            </w:pPr>
            <w:r w:rsidRPr="00E837DF">
              <w:rPr>
                <w:noProof/>
                <w:color w:val="auto"/>
              </w:rPr>
              <w:drawing>
                <wp:anchor distT="0" distB="0" distL="114300" distR="114300" simplePos="0" relativeHeight="251658240" behindDoc="0" locked="0" layoutInCell="1" allowOverlap="1" wp14:anchorId="606B264B" wp14:editId="09A8FEA4">
                  <wp:simplePos x="0" y="0"/>
                  <wp:positionH relativeFrom="column">
                    <wp:align>center</wp:align>
                  </wp:positionH>
                  <wp:positionV relativeFrom="paragraph">
                    <wp:posOffset>140400</wp:posOffset>
                  </wp:positionV>
                  <wp:extent cx="581760" cy="695159"/>
                  <wp:effectExtent l="0" t="0" r="8790" b="0"/>
                  <wp:wrapTopAndBottom/>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81760" cy="695159"/>
                          </a:xfrm>
                          <a:prstGeom prst="rect">
                            <a:avLst/>
                          </a:prstGeom>
                          <a:noFill/>
                          <a:ln>
                            <a:noFill/>
                            <a:prstDash/>
                          </a:ln>
                        </pic:spPr>
                      </pic:pic>
                    </a:graphicData>
                  </a:graphic>
                </wp:anchor>
              </w:drawing>
            </w:r>
          </w:p>
        </w:tc>
      </w:tr>
      <w:tr w:rsidR="00E837DF" w:rsidRPr="00E837DF" w14:paraId="15D517CE" w14:textId="77777777">
        <w:trPr>
          <w:trHeight w:val="275"/>
        </w:trPr>
        <w:tc>
          <w:tcPr>
            <w:tcW w:w="9620" w:type="dxa"/>
            <w:shd w:val="clear" w:color="auto" w:fill="FFFFFF"/>
            <w:tcMar>
              <w:top w:w="0" w:type="dxa"/>
              <w:left w:w="108" w:type="dxa"/>
              <w:bottom w:w="0" w:type="dxa"/>
              <w:right w:w="108" w:type="dxa"/>
            </w:tcMar>
          </w:tcPr>
          <w:p w14:paraId="763B7579" w14:textId="77777777" w:rsidR="00775972" w:rsidRPr="00E837DF" w:rsidRDefault="004B2626" w:rsidP="006F2165">
            <w:pPr>
              <w:pStyle w:val="Antrat7"/>
              <w:widowControl w:val="0"/>
              <w:tabs>
                <w:tab w:val="left" w:pos="0"/>
              </w:tabs>
              <w:rPr>
                <w:color w:val="auto"/>
              </w:rPr>
            </w:pPr>
            <w:r w:rsidRPr="00E837DF">
              <w:rPr>
                <w:color w:val="auto"/>
              </w:rPr>
              <w:t>ŠIAULIŲ RAJONO SAVIVALDYBĖS ADMINISTRACIJOS</w:t>
            </w:r>
          </w:p>
          <w:p w14:paraId="62168ABB" w14:textId="77777777" w:rsidR="00775972" w:rsidRPr="00E837DF" w:rsidRDefault="004B2626" w:rsidP="006F2165">
            <w:pPr>
              <w:pStyle w:val="Antrat7"/>
              <w:widowControl w:val="0"/>
              <w:tabs>
                <w:tab w:val="left" w:pos="2891"/>
              </w:tabs>
              <w:rPr>
                <w:color w:val="auto"/>
              </w:rPr>
            </w:pPr>
            <w:r w:rsidRPr="00E837DF">
              <w:rPr>
                <w:color w:val="auto"/>
              </w:rPr>
              <w:t>DIREKTORIUS</w:t>
            </w:r>
          </w:p>
        </w:tc>
      </w:tr>
      <w:tr w:rsidR="00E837DF" w:rsidRPr="00E837DF" w14:paraId="11F9BB31" w14:textId="77777777">
        <w:trPr>
          <w:trHeight w:val="290"/>
        </w:trPr>
        <w:tc>
          <w:tcPr>
            <w:tcW w:w="9620" w:type="dxa"/>
            <w:shd w:val="clear" w:color="auto" w:fill="FFFFFF"/>
            <w:tcMar>
              <w:top w:w="0" w:type="dxa"/>
              <w:left w:w="108" w:type="dxa"/>
              <w:bottom w:w="0" w:type="dxa"/>
              <w:right w:w="108" w:type="dxa"/>
            </w:tcMar>
          </w:tcPr>
          <w:p w14:paraId="2AFEF495" w14:textId="77777777" w:rsidR="00775972" w:rsidRPr="00E837DF" w:rsidRDefault="00775972" w:rsidP="006F2165">
            <w:pPr>
              <w:pStyle w:val="Standard"/>
              <w:widowControl w:val="0"/>
              <w:jc w:val="center"/>
              <w:rPr>
                <w:b/>
                <w:color w:val="auto"/>
                <w:sz w:val="24"/>
              </w:rPr>
            </w:pPr>
          </w:p>
        </w:tc>
      </w:tr>
      <w:tr w:rsidR="00E837DF" w:rsidRPr="00E837DF" w14:paraId="6F68C1D4" w14:textId="77777777">
        <w:trPr>
          <w:trHeight w:val="275"/>
        </w:trPr>
        <w:tc>
          <w:tcPr>
            <w:tcW w:w="9620" w:type="dxa"/>
            <w:shd w:val="clear" w:color="auto" w:fill="FFFFFF"/>
            <w:tcMar>
              <w:top w:w="0" w:type="dxa"/>
              <w:left w:w="108" w:type="dxa"/>
              <w:bottom w:w="0" w:type="dxa"/>
              <w:right w:w="108" w:type="dxa"/>
            </w:tcMar>
          </w:tcPr>
          <w:p w14:paraId="348F1015" w14:textId="77777777" w:rsidR="00775972" w:rsidRPr="00E837DF" w:rsidRDefault="004B2626">
            <w:pPr>
              <w:pStyle w:val="Antrat1"/>
              <w:widowControl w:val="0"/>
              <w:jc w:val="center"/>
              <w:rPr>
                <w:b/>
                <w:color w:val="auto"/>
              </w:rPr>
            </w:pPr>
            <w:r w:rsidRPr="00E837DF">
              <w:rPr>
                <w:b/>
                <w:color w:val="auto"/>
              </w:rPr>
              <w:t>ĮSAKYMAS</w:t>
            </w:r>
          </w:p>
        </w:tc>
      </w:tr>
      <w:tr w:rsidR="00E837DF" w:rsidRPr="00E837DF" w14:paraId="2CF6040B" w14:textId="77777777">
        <w:trPr>
          <w:trHeight w:val="664"/>
        </w:trPr>
        <w:tc>
          <w:tcPr>
            <w:tcW w:w="9620" w:type="dxa"/>
            <w:shd w:val="clear" w:color="auto" w:fill="FFFFFF"/>
            <w:tcMar>
              <w:top w:w="0" w:type="dxa"/>
              <w:left w:w="108" w:type="dxa"/>
              <w:bottom w:w="0" w:type="dxa"/>
              <w:right w:w="108" w:type="dxa"/>
            </w:tcMar>
          </w:tcPr>
          <w:p w14:paraId="20E0D7CE" w14:textId="5439C45E" w:rsidR="00775972" w:rsidRPr="00E837DF" w:rsidRDefault="00A87F69" w:rsidP="00293549">
            <w:pPr>
              <w:pStyle w:val="Antrat1"/>
              <w:widowControl w:val="0"/>
              <w:tabs>
                <w:tab w:val="left" w:pos="318"/>
              </w:tabs>
              <w:ind w:right="-122"/>
              <w:jc w:val="center"/>
              <w:rPr>
                <w:b/>
                <w:color w:val="auto"/>
                <w:szCs w:val="24"/>
              </w:rPr>
            </w:pPr>
            <w:r w:rsidRPr="00E837DF">
              <w:rPr>
                <w:b/>
                <w:color w:val="auto"/>
                <w:szCs w:val="24"/>
              </w:rPr>
              <w:t xml:space="preserve">DĖL </w:t>
            </w:r>
            <w:r w:rsidR="00293549" w:rsidRPr="00E837DF">
              <w:rPr>
                <w:b/>
                <w:color w:val="auto"/>
                <w:szCs w:val="24"/>
              </w:rPr>
              <w:t xml:space="preserve">ŠIAULIŲ RAJONO </w:t>
            </w:r>
            <w:r w:rsidRPr="00E837DF">
              <w:rPr>
                <w:b/>
                <w:color w:val="auto"/>
                <w:szCs w:val="24"/>
              </w:rPr>
              <w:t>KOREGUOTO SUSISIEKIMO SISTEMOS SPECIALIOJO PLANO KEITIMO ORGANIZAVIMO, PLANAVIMO TIKSLŲ IR PLANAVIMO DARBŲ PROGRAMOS</w:t>
            </w:r>
            <w:r w:rsidR="0059019B" w:rsidRPr="00E837DF">
              <w:rPr>
                <w:b/>
                <w:color w:val="auto"/>
                <w:szCs w:val="24"/>
              </w:rPr>
              <w:t xml:space="preserve"> PATVIRTINIMO</w:t>
            </w:r>
          </w:p>
          <w:p w14:paraId="6CC3C1FD" w14:textId="77777777" w:rsidR="00775972" w:rsidRPr="00E837DF" w:rsidRDefault="00775972">
            <w:pPr>
              <w:pStyle w:val="Antrat1"/>
              <w:widowControl w:val="0"/>
              <w:tabs>
                <w:tab w:val="left" w:pos="318"/>
              </w:tabs>
              <w:ind w:right="-265"/>
              <w:jc w:val="center"/>
              <w:rPr>
                <w:b/>
                <w:color w:val="auto"/>
                <w:sz w:val="22"/>
                <w:szCs w:val="22"/>
              </w:rPr>
            </w:pPr>
          </w:p>
        </w:tc>
      </w:tr>
      <w:tr w:rsidR="00E837DF" w:rsidRPr="00E837DF" w14:paraId="2E808228" w14:textId="77777777" w:rsidTr="002537B4">
        <w:trPr>
          <w:trHeight w:val="729"/>
        </w:trPr>
        <w:tc>
          <w:tcPr>
            <w:tcW w:w="9620" w:type="dxa"/>
            <w:shd w:val="clear" w:color="auto" w:fill="FFFFFF"/>
            <w:tcMar>
              <w:top w:w="0" w:type="dxa"/>
              <w:left w:w="108" w:type="dxa"/>
              <w:bottom w:w="0" w:type="dxa"/>
              <w:right w:w="108" w:type="dxa"/>
            </w:tcMar>
          </w:tcPr>
          <w:p w14:paraId="7505DAA8" w14:textId="1ADC3A0A" w:rsidR="00775972" w:rsidRPr="00E837DF" w:rsidRDefault="004B2626">
            <w:pPr>
              <w:pStyle w:val="Standard"/>
              <w:widowControl w:val="0"/>
              <w:tabs>
                <w:tab w:val="left" w:pos="318"/>
              </w:tabs>
              <w:jc w:val="center"/>
              <w:rPr>
                <w:color w:val="auto"/>
                <w:sz w:val="24"/>
                <w:szCs w:val="24"/>
              </w:rPr>
            </w:pPr>
            <w:r w:rsidRPr="00E837DF">
              <w:rPr>
                <w:color w:val="auto"/>
                <w:sz w:val="24"/>
                <w:szCs w:val="24"/>
              </w:rPr>
              <w:t>202</w:t>
            </w:r>
            <w:r w:rsidR="00FA1356" w:rsidRPr="00E837DF">
              <w:rPr>
                <w:color w:val="auto"/>
                <w:sz w:val="24"/>
                <w:szCs w:val="24"/>
              </w:rPr>
              <w:t>5</w:t>
            </w:r>
            <w:r w:rsidRPr="00E837DF">
              <w:rPr>
                <w:color w:val="auto"/>
                <w:sz w:val="24"/>
                <w:szCs w:val="24"/>
              </w:rPr>
              <w:t xml:space="preserve"> m. </w:t>
            </w:r>
            <w:r w:rsidR="00175DC2" w:rsidRPr="00E837DF">
              <w:rPr>
                <w:color w:val="auto"/>
                <w:sz w:val="24"/>
                <w:szCs w:val="24"/>
              </w:rPr>
              <w:t xml:space="preserve">lapkričio </w:t>
            </w:r>
            <w:r w:rsidRPr="00E837DF">
              <w:rPr>
                <w:color w:val="auto"/>
                <w:sz w:val="24"/>
                <w:szCs w:val="24"/>
              </w:rPr>
              <w:t xml:space="preserve">        d. Nr. A-</w:t>
            </w:r>
          </w:p>
          <w:p w14:paraId="7AC502C8" w14:textId="461112E9" w:rsidR="00775972" w:rsidRPr="00E837DF" w:rsidRDefault="004B2626">
            <w:pPr>
              <w:pStyle w:val="Standard"/>
              <w:widowControl w:val="0"/>
              <w:tabs>
                <w:tab w:val="left" w:pos="318"/>
              </w:tabs>
              <w:jc w:val="center"/>
              <w:rPr>
                <w:color w:val="auto"/>
                <w:sz w:val="24"/>
                <w:szCs w:val="24"/>
              </w:rPr>
            </w:pPr>
            <w:r w:rsidRPr="00E837DF">
              <w:rPr>
                <w:color w:val="auto"/>
                <w:sz w:val="24"/>
                <w:szCs w:val="24"/>
              </w:rPr>
              <w:t>Šiauliai</w:t>
            </w:r>
          </w:p>
          <w:p w14:paraId="7308AA77" w14:textId="77777777" w:rsidR="00775972" w:rsidRPr="00E837DF" w:rsidRDefault="00775972">
            <w:pPr>
              <w:pStyle w:val="Standard"/>
              <w:widowControl w:val="0"/>
              <w:tabs>
                <w:tab w:val="left" w:pos="318"/>
              </w:tabs>
              <w:jc w:val="center"/>
              <w:rPr>
                <w:color w:val="auto"/>
                <w:sz w:val="24"/>
                <w:szCs w:val="24"/>
              </w:rPr>
            </w:pPr>
          </w:p>
        </w:tc>
      </w:tr>
    </w:tbl>
    <w:p w14:paraId="0136DBE7" w14:textId="5B7582D0" w:rsidR="00A51736" w:rsidRPr="00E837DF" w:rsidRDefault="00131E02" w:rsidP="002B0D03">
      <w:pPr>
        <w:pStyle w:val="Betarp"/>
        <w:ind w:firstLine="720"/>
        <w:jc w:val="both"/>
        <w:rPr>
          <w:color w:val="auto"/>
          <w:sz w:val="24"/>
          <w:szCs w:val="24"/>
        </w:rPr>
      </w:pPr>
      <w:r w:rsidRPr="00E837DF">
        <w:rPr>
          <w:color w:val="auto"/>
          <w:sz w:val="24"/>
          <w:szCs w:val="24"/>
        </w:rPr>
        <w:t xml:space="preserve">Vadovaudamasis Lietuvos Respublikos vietos savivaldos įstatymo </w:t>
      </w:r>
      <w:r w:rsidR="004A7F48" w:rsidRPr="00E837DF">
        <w:rPr>
          <w:color w:val="auto"/>
          <w:sz w:val="24"/>
          <w:szCs w:val="24"/>
        </w:rPr>
        <w:t>3</w:t>
      </w:r>
      <w:r w:rsidR="003071AC" w:rsidRPr="00E837DF">
        <w:rPr>
          <w:color w:val="auto"/>
          <w:sz w:val="24"/>
          <w:szCs w:val="24"/>
        </w:rPr>
        <w:t>4</w:t>
      </w:r>
      <w:r w:rsidRPr="00E837DF">
        <w:rPr>
          <w:color w:val="auto"/>
          <w:sz w:val="24"/>
          <w:szCs w:val="24"/>
        </w:rPr>
        <w:t xml:space="preserve"> straipsnio </w:t>
      </w:r>
      <w:r w:rsidR="003071AC" w:rsidRPr="00E837DF">
        <w:rPr>
          <w:color w:val="auto"/>
          <w:sz w:val="24"/>
          <w:szCs w:val="24"/>
        </w:rPr>
        <w:t>6</w:t>
      </w:r>
      <w:r w:rsidRPr="00E837DF">
        <w:rPr>
          <w:color w:val="auto"/>
          <w:sz w:val="24"/>
          <w:szCs w:val="24"/>
        </w:rPr>
        <w:t xml:space="preserve"> dalies </w:t>
      </w:r>
      <w:r w:rsidR="004A7F48" w:rsidRPr="00E837DF">
        <w:rPr>
          <w:color w:val="auto"/>
          <w:sz w:val="24"/>
          <w:szCs w:val="24"/>
        </w:rPr>
        <w:t xml:space="preserve">5 </w:t>
      </w:r>
      <w:r w:rsidRPr="00E837DF">
        <w:rPr>
          <w:color w:val="auto"/>
          <w:sz w:val="24"/>
          <w:szCs w:val="24"/>
        </w:rPr>
        <w:t xml:space="preserve">punktu, Lietuvos Respublikos teritorijų planavimo įstatymo 6 straipsnio </w:t>
      </w:r>
      <w:r w:rsidR="003071AC" w:rsidRPr="00E837DF">
        <w:rPr>
          <w:color w:val="auto"/>
          <w:sz w:val="24"/>
          <w:szCs w:val="24"/>
        </w:rPr>
        <w:t>2</w:t>
      </w:r>
      <w:r w:rsidRPr="00E837DF">
        <w:rPr>
          <w:color w:val="auto"/>
          <w:sz w:val="24"/>
          <w:szCs w:val="24"/>
        </w:rPr>
        <w:t xml:space="preserve"> dalimi, </w:t>
      </w:r>
      <w:r w:rsidR="00A51736" w:rsidRPr="00E837DF">
        <w:rPr>
          <w:color w:val="auto"/>
          <w:sz w:val="24"/>
          <w:szCs w:val="24"/>
        </w:rPr>
        <w:t>Susisiekimo komunikacijų inžinerinės infrastruktūros vystymo planų rengimo taisyklių, patvirtintų Lietuvos Respublikos susisiekimo ministro ir Lietuvos Respublikos aplinkos ministro 2006 m. lapkričio 24 d. įsakymu Nr. 3-453/D1-549 „Dė</w:t>
      </w:r>
      <w:r w:rsidR="00556213" w:rsidRPr="00E837DF">
        <w:rPr>
          <w:color w:val="auto"/>
          <w:sz w:val="24"/>
          <w:szCs w:val="24"/>
        </w:rPr>
        <w:t xml:space="preserve">l </w:t>
      </w:r>
      <w:r w:rsidR="00245E3A" w:rsidRPr="00E837DF">
        <w:rPr>
          <w:color w:val="auto"/>
          <w:sz w:val="24"/>
          <w:szCs w:val="24"/>
        </w:rPr>
        <w:t>S</w:t>
      </w:r>
      <w:r w:rsidR="00556213" w:rsidRPr="00E837DF">
        <w:rPr>
          <w:color w:val="auto"/>
          <w:sz w:val="24"/>
          <w:szCs w:val="24"/>
        </w:rPr>
        <w:t>usisiekimo komunikacijų inžinerinės infrastruktūros vystymo planų rengimo taisyklių patvirtinimo</w:t>
      </w:r>
      <w:r w:rsidR="00EC3597" w:rsidRPr="00E837DF">
        <w:rPr>
          <w:color w:val="auto"/>
          <w:sz w:val="24"/>
          <w:szCs w:val="24"/>
        </w:rPr>
        <w:t xml:space="preserve">“ 7.2 </w:t>
      </w:r>
      <w:r w:rsidR="007B17A9" w:rsidRPr="00E837DF">
        <w:rPr>
          <w:color w:val="auto"/>
          <w:sz w:val="24"/>
          <w:szCs w:val="24"/>
        </w:rPr>
        <w:t>pa</w:t>
      </w:r>
      <w:r w:rsidR="00EC3597" w:rsidRPr="00E837DF">
        <w:rPr>
          <w:color w:val="auto"/>
          <w:sz w:val="24"/>
          <w:szCs w:val="24"/>
        </w:rPr>
        <w:t>punk</w:t>
      </w:r>
      <w:r w:rsidR="007B17A9" w:rsidRPr="00E837DF">
        <w:rPr>
          <w:color w:val="auto"/>
          <w:sz w:val="24"/>
          <w:szCs w:val="24"/>
        </w:rPr>
        <w:t>čiu ir</w:t>
      </w:r>
      <w:r w:rsidR="003B0139" w:rsidRPr="00E837DF">
        <w:rPr>
          <w:color w:val="auto"/>
          <w:sz w:val="24"/>
          <w:szCs w:val="24"/>
        </w:rPr>
        <w:t xml:space="preserve"> Šiaulių rajono savivaldybės tarybos 2025 m. spalio 14 d. sprendimu Nr.</w:t>
      </w:r>
      <w:r w:rsidR="00980F78" w:rsidRPr="00E837DF">
        <w:rPr>
          <w:color w:val="auto"/>
          <w:sz w:val="24"/>
          <w:szCs w:val="24"/>
        </w:rPr>
        <w:t xml:space="preserve"> </w:t>
      </w:r>
      <w:r w:rsidR="003B0139" w:rsidRPr="00E837DF">
        <w:rPr>
          <w:color w:val="auto"/>
          <w:sz w:val="24"/>
          <w:szCs w:val="24"/>
        </w:rPr>
        <w:t>T-246</w:t>
      </w:r>
      <w:r w:rsidR="00ED791A" w:rsidRPr="00E837DF">
        <w:rPr>
          <w:color w:val="auto"/>
          <w:sz w:val="24"/>
          <w:szCs w:val="24"/>
        </w:rPr>
        <w:t xml:space="preserve"> „</w:t>
      </w:r>
      <w:bookmarkStart w:id="0" w:name="_Hlk212648656"/>
      <w:r w:rsidR="00ED791A" w:rsidRPr="00E837DF">
        <w:rPr>
          <w:color w:val="auto"/>
          <w:sz w:val="24"/>
          <w:szCs w:val="24"/>
        </w:rPr>
        <w:t>Dėl pritarimo keisti koreguotą susisiekimo sistemos specialųjį planą Šiaulių rajone</w:t>
      </w:r>
      <w:bookmarkEnd w:id="0"/>
      <w:r w:rsidR="00ED791A" w:rsidRPr="00E837DF">
        <w:rPr>
          <w:color w:val="auto"/>
          <w:sz w:val="24"/>
          <w:szCs w:val="24"/>
        </w:rPr>
        <w:t>“</w:t>
      </w:r>
      <w:r w:rsidR="003B0139" w:rsidRPr="00E837DF">
        <w:rPr>
          <w:color w:val="auto"/>
          <w:sz w:val="24"/>
          <w:szCs w:val="24"/>
        </w:rPr>
        <w:t>:</w:t>
      </w:r>
    </w:p>
    <w:p w14:paraId="2BD36945" w14:textId="540050FB" w:rsidR="007B5F10" w:rsidRPr="00E837DF" w:rsidRDefault="004464CA" w:rsidP="00392DD0">
      <w:pPr>
        <w:pStyle w:val="Betarp"/>
        <w:ind w:firstLine="720"/>
        <w:jc w:val="both"/>
        <w:rPr>
          <w:rFonts w:eastAsia="Lucida Sans Unicode" w:cs="Tahoma"/>
          <w:bCs/>
          <w:color w:val="auto"/>
          <w:sz w:val="24"/>
          <w:szCs w:val="24"/>
          <w:lang w:eastAsia="lt-LT"/>
        </w:rPr>
      </w:pPr>
      <w:r w:rsidRPr="00E837DF">
        <w:rPr>
          <w:rFonts w:hint="eastAsia"/>
          <w:color w:val="auto"/>
          <w:sz w:val="24"/>
          <w:szCs w:val="24"/>
        </w:rPr>
        <w:t xml:space="preserve">1. </w:t>
      </w:r>
      <w:r w:rsidR="0037100E" w:rsidRPr="00E837DF">
        <w:rPr>
          <w:color w:val="auto"/>
          <w:spacing w:val="84"/>
          <w:sz w:val="24"/>
          <w:szCs w:val="24"/>
        </w:rPr>
        <w:t>Organizuoju</w:t>
      </w:r>
      <w:r w:rsidR="0037100E" w:rsidRPr="00E837DF">
        <w:rPr>
          <w:color w:val="auto"/>
          <w:sz w:val="24"/>
          <w:szCs w:val="24"/>
        </w:rPr>
        <w:t xml:space="preserve"> </w:t>
      </w:r>
      <w:r w:rsidR="00293549" w:rsidRPr="00E837DF">
        <w:rPr>
          <w:rFonts w:hint="eastAsia"/>
          <w:color w:val="auto"/>
          <w:sz w:val="24"/>
          <w:szCs w:val="24"/>
        </w:rPr>
        <w:t>Šiaulių rajono koreguoto susisiekimo sistemos specialiojo plano, patvirtinto Šiaulių rajono savivaldybės tarybos 2019 m. kovo 26 d.  sprendimu Nr. T-90 „Dėl Šiaulių rajono koreguoto susisiekimo sistemos specialiojo plano patvirtinimo“, keitim</w:t>
      </w:r>
      <w:r w:rsidR="00293549" w:rsidRPr="00E837DF">
        <w:rPr>
          <w:rFonts w:eastAsia="Calibri"/>
          <w:color w:val="auto"/>
          <w:sz w:val="24"/>
          <w:szCs w:val="24"/>
        </w:rPr>
        <w:t>ą</w:t>
      </w:r>
      <w:r w:rsidR="00F31ECC" w:rsidRPr="00E837DF">
        <w:rPr>
          <w:rFonts w:eastAsia="Calibri"/>
          <w:color w:val="auto"/>
          <w:sz w:val="24"/>
          <w:szCs w:val="24"/>
        </w:rPr>
        <w:t xml:space="preserve"> (toliau – Specialusis planas)</w:t>
      </w:r>
      <w:r w:rsidR="00293549" w:rsidRPr="00E837DF">
        <w:rPr>
          <w:rFonts w:eastAsia="Calibri"/>
          <w:color w:val="auto"/>
          <w:sz w:val="24"/>
          <w:szCs w:val="24"/>
        </w:rPr>
        <w:t>.</w:t>
      </w:r>
      <w:r w:rsidR="00366CDE" w:rsidRPr="00E837DF">
        <w:rPr>
          <w:rFonts w:eastAsia="Calibri"/>
          <w:color w:val="auto"/>
          <w:sz w:val="24"/>
          <w:szCs w:val="24"/>
        </w:rPr>
        <w:t xml:space="preserve"> Specialiojo plano </w:t>
      </w:r>
      <w:r w:rsidR="00FF5DF0" w:rsidRPr="00E837DF">
        <w:rPr>
          <w:rFonts w:eastAsia="Calibri"/>
          <w:color w:val="auto"/>
          <w:sz w:val="24"/>
          <w:szCs w:val="24"/>
        </w:rPr>
        <w:t>keitimo</w:t>
      </w:r>
      <w:r w:rsidR="00B94D34" w:rsidRPr="00E837DF">
        <w:rPr>
          <w:rFonts w:eastAsia="Lucida Sans Unicode" w:cs="Tahoma"/>
          <w:bCs/>
          <w:color w:val="auto"/>
          <w:sz w:val="24"/>
          <w:szCs w:val="24"/>
          <w:lang w:eastAsia="lt-LT"/>
        </w:rPr>
        <w:t xml:space="preserve"> tiksla</w:t>
      </w:r>
      <w:r w:rsidR="007B5F10" w:rsidRPr="00E837DF">
        <w:rPr>
          <w:rFonts w:eastAsia="Lucida Sans Unicode" w:cs="Tahoma"/>
          <w:bCs/>
          <w:color w:val="auto"/>
          <w:sz w:val="24"/>
          <w:szCs w:val="24"/>
          <w:lang w:eastAsia="lt-LT"/>
        </w:rPr>
        <w:t xml:space="preserve">i: </w:t>
      </w:r>
    </w:p>
    <w:p w14:paraId="485A1E8E" w14:textId="24BD5AD2" w:rsidR="007B5F10" w:rsidRPr="00E837DF" w:rsidRDefault="00E951D7" w:rsidP="00392DD0">
      <w:pPr>
        <w:pStyle w:val="Betarp"/>
        <w:ind w:firstLine="720"/>
        <w:jc w:val="both"/>
        <w:rPr>
          <w:color w:val="auto"/>
          <w:sz w:val="24"/>
          <w:szCs w:val="24"/>
        </w:rPr>
      </w:pPr>
      <w:r w:rsidRPr="00E837DF">
        <w:rPr>
          <w:rFonts w:eastAsia="Lucida Sans Unicode" w:cs="Tahoma"/>
          <w:bCs/>
          <w:color w:val="auto"/>
          <w:sz w:val="24"/>
          <w:szCs w:val="24"/>
          <w:lang w:eastAsia="lt-LT"/>
        </w:rPr>
        <w:t>1.1.</w:t>
      </w:r>
      <w:r w:rsidR="001D03D5" w:rsidRPr="00E837DF">
        <w:rPr>
          <w:rFonts w:eastAsia="Lucida Sans Unicode" w:cs="Tahoma"/>
          <w:bCs/>
          <w:color w:val="auto"/>
          <w:sz w:val="24"/>
          <w:szCs w:val="24"/>
          <w:lang w:eastAsia="lt-LT"/>
        </w:rPr>
        <w:t xml:space="preserve"> </w:t>
      </w:r>
      <w:r w:rsidR="007B5F10" w:rsidRPr="00E837DF">
        <w:rPr>
          <w:color w:val="auto"/>
          <w:sz w:val="24"/>
          <w:szCs w:val="24"/>
        </w:rPr>
        <w:t>užtikrinti darnią susisiekimo komunikacijų ir jų infrastruktūros plėtrą savivaldybės teritorijoje ir rezervuoti teritorijas šiai plėtrai, nustatant ar pakeičiant planuojamos teritorijos naudojimo ir tvarkymo režimą, apsaugos priemones ir kitus reikalavimus</w:t>
      </w:r>
      <w:r w:rsidR="001D03D5" w:rsidRPr="00E837DF">
        <w:rPr>
          <w:color w:val="auto"/>
          <w:sz w:val="24"/>
          <w:szCs w:val="24"/>
        </w:rPr>
        <w:t>;</w:t>
      </w:r>
    </w:p>
    <w:p w14:paraId="08180324" w14:textId="52B2FC9E" w:rsidR="007004D2" w:rsidRPr="00E837DF" w:rsidRDefault="00E951D7" w:rsidP="00392DD0">
      <w:pPr>
        <w:pStyle w:val="Betarp"/>
        <w:ind w:firstLine="720"/>
        <w:jc w:val="both"/>
        <w:rPr>
          <w:color w:val="auto"/>
          <w:sz w:val="24"/>
          <w:szCs w:val="24"/>
        </w:rPr>
      </w:pPr>
      <w:r w:rsidRPr="00E837DF">
        <w:rPr>
          <w:color w:val="auto"/>
          <w:sz w:val="24"/>
          <w:szCs w:val="24"/>
        </w:rPr>
        <w:t>1.2.</w:t>
      </w:r>
      <w:r w:rsidR="001D03D5" w:rsidRPr="00E837DF">
        <w:rPr>
          <w:color w:val="auto"/>
          <w:sz w:val="24"/>
          <w:szCs w:val="24"/>
        </w:rPr>
        <w:t xml:space="preserve"> </w:t>
      </w:r>
      <w:r w:rsidR="007004D2" w:rsidRPr="00E837DF">
        <w:rPr>
          <w:color w:val="auto"/>
          <w:sz w:val="24"/>
          <w:szCs w:val="24"/>
        </w:rPr>
        <w:t xml:space="preserve">pakoreguoti gatves, kurios patenka į privačius sklypus, pažymėti naujas perspektyvines gatves, patikslinti faktines kelių ribas; </w:t>
      </w:r>
    </w:p>
    <w:p w14:paraId="32903C44" w14:textId="14B7ECEC" w:rsidR="007004D2" w:rsidRPr="00E837DF" w:rsidRDefault="00E951D7" w:rsidP="00392DD0">
      <w:pPr>
        <w:pStyle w:val="Betarp"/>
        <w:ind w:firstLine="720"/>
        <w:jc w:val="both"/>
        <w:rPr>
          <w:rFonts w:eastAsia="Lucida Sans Unicode" w:cs="Tahoma"/>
          <w:bCs/>
          <w:color w:val="auto"/>
          <w:sz w:val="24"/>
          <w:szCs w:val="24"/>
          <w:highlight w:val="green"/>
          <w:lang w:eastAsia="lt-LT"/>
        </w:rPr>
      </w:pPr>
      <w:r w:rsidRPr="00E837DF">
        <w:rPr>
          <w:color w:val="auto"/>
          <w:sz w:val="24"/>
          <w:szCs w:val="24"/>
        </w:rPr>
        <w:t>1.3.</w:t>
      </w:r>
      <w:r w:rsidR="001D03D5" w:rsidRPr="00E837DF">
        <w:rPr>
          <w:color w:val="auto"/>
          <w:sz w:val="24"/>
          <w:szCs w:val="24"/>
        </w:rPr>
        <w:t xml:space="preserve"> </w:t>
      </w:r>
      <w:r w:rsidR="007004D2" w:rsidRPr="00E837DF">
        <w:rPr>
          <w:color w:val="auto"/>
          <w:sz w:val="24"/>
          <w:szCs w:val="24"/>
        </w:rPr>
        <w:t>patikslinti Šiaulių kaimiškajai seniūnijai priklausančių ir prižiūrimų gatvių ir kelių skaičių</w:t>
      </w:r>
      <w:r w:rsidR="00924CBE" w:rsidRPr="00E837DF">
        <w:rPr>
          <w:color w:val="auto"/>
          <w:sz w:val="24"/>
          <w:szCs w:val="24"/>
        </w:rPr>
        <w:t xml:space="preserve">, atsižvelgiant į tai, kad </w:t>
      </w:r>
      <w:r w:rsidR="00595240" w:rsidRPr="00E837DF">
        <w:rPr>
          <w:color w:val="auto"/>
          <w:sz w:val="24"/>
          <w:szCs w:val="24"/>
        </w:rPr>
        <w:t xml:space="preserve">joje buvęs </w:t>
      </w:r>
      <w:r w:rsidR="00924CBE" w:rsidRPr="00E837DF">
        <w:rPr>
          <w:color w:val="auto"/>
          <w:sz w:val="24"/>
          <w:szCs w:val="24"/>
        </w:rPr>
        <w:t>Žaliūkių kaimas</w:t>
      </w:r>
      <w:r w:rsidR="00595240" w:rsidRPr="00E837DF">
        <w:rPr>
          <w:color w:val="auto"/>
          <w:sz w:val="24"/>
          <w:szCs w:val="24"/>
        </w:rPr>
        <w:t xml:space="preserve"> </w:t>
      </w:r>
      <w:r w:rsidR="00924CBE" w:rsidRPr="00E837DF">
        <w:rPr>
          <w:color w:val="auto"/>
          <w:sz w:val="24"/>
          <w:szCs w:val="24"/>
        </w:rPr>
        <w:t xml:space="preserve">atskirtas nuo Šiaulių rajono savivaldybės teritorijos ir prijungtas prie Šiaulių miesto savivaldybės teritorijos. </w:t>
      </w:r>
    </w:p>
    <w:p w14:paraId="0673E11A" w14:textId="34BE453C" w:rsidR="00AB4581" w:rsidRPr="00E837DF" w:rsidRDefault="00AB4581" w:rsidP="00392DD0">
      <w:pPr>
        <w:pStyle w:val="Betarp"/>
        <w:ind w:firstLine="720"/>
        <w:jc w:val="both"/>
        <w:rPr>
          <w:color w:val="auto"/>
          <w:sz w:val="24"/>
          <w:szCs w:val="24"/>
        </w:rPr>
      </w:pPr>
      <w:r w:rsidRPr="00E837DF">
        <w:rPr>
          <w:color w:val="auto"/>
          <w:sz w:val="24"/>
          <w:szCs w:val="24"/>
          <w:lang w:eastAsia="en-US"/>
        </w:rPr>
        <w:t xml:space="preserve">2. T v i r t i n u </w:t>
      </w:r>
      <w:r w:rsidR="00C34416" w:rsidRPr="00E837DF">
        <w:rPr>
          <w:color w:val="auto"/>
          <w:sz w:val="24"/>
          <w:szCs w:val="24"/>
          <w:lang w:eastAsia="en-US"/>
        </w:rPr>
        <w:t xml:space="preserve">Šiaulių rajono koreguoto susisiekimo sistemos specialiojo plano keitimo </w:t>
      </w:r>
      <w:r w:rsidRPr="00E837DF">
        <w:rPr>
          <w:color w:val="auto"/>
          <w:sz w:val="24"/>
          <w:szCs w:val="24"/>
          <w:lang w:eastAsia="en-US"/>
        </w:rPr>
        <w:t>planavimo darbų programą</w:t>
      </w:r>
      <w:r w:rsidR="00D36EAA" w:rsidRPr="00E837DF">
        <w:rPr>
          <w:color w:val="auto"/>
          <w:sz w:val="24"/>
          <w:szCs w:val="24"/>
          <w:lang w:eastAsia="en-US"/>
        </w:rPr>
        <w:t xml:space="preserve"> (pridedama).</w:t>
      </w:r>
    </w:p>
    <w:p w14:paraId="7971A23B" w14:textId="05A48E21" w:rsidR="00F873F9" w:rsidRPr="00E837DF" w:rsidRDefault="004B2626" w:rsidP="0037100E">
      <w:pPr>
        <w:pStyle w:val="Betarp"/>
        <w:jc w:val="both"/>
        <w:rPr>
          <w:color w:val="auto"/>
          <w:sz w:val="24"/>
          <w:szCs w:val="24"/>
        </w:rPr>
      </w:pPr>
      <w:r w:rsidRPr="00E837DF">
        <w:rPr>
          <w:color w:val="auto"/>
          <w:sz w:val="24"/>
          <w:szCs w:val="24"/>
        </w:rPr>
        <w:tab/>
      </w:r>
      <w:r w:rsidR="00AB4581" w:rsidRPr="00E837DF">
        <w:rPr>
          <w:color w:val="auto"/>
          <w:sz w:val="24"/>
          <w:szCs w:val="24"/>
        </w:rPr>
        <w:t>3</w:t>
      </w:r>
      <w:r w:rsidRPr="00E837DF">
        <w:rPr>
          <w:color w:val="auto"/>
          <w:sz w:val="24"/>
          <w:szCs w:val="24"/>
        </w:rPr>
        <w:t xml:space="preserve">. </w:t>
      </w:r>
      <w:r w:rsidR="00F873F9" w:rsidRPr="00E837DF">
        <w:rPr>
          <w:color w:val="auto"/>
          <w:spacing w:val="84"/>
          <w:sz w:val="24"/>
          <w:szCs w:val="24"/>
        </w:rPr>
        <w:t>Įpareigoju</w:t>
      </w:r>
      <w:r w:rsidR="00F873F9" w:rsidRPr="00E837DF">
        <w:rPr>
          <w:color w:val="auto"/>
          <w:sz w:val="24"/>
          <w:szCs w:val="24"/>
        </w:rPr>
        <w:t xml:space="preserve"> Architektūros ir paveldosaugos skyriaus vedėją </w:t>
      </w:r>
      <w:r w:rsidR="007362A0" w:rsidRPr="00E837DF">
        <w:rPr>
          <w:color w:val="auto"/>
          <w:sz w:val="24"/>
          <w:szCs w:val="24"/>
        </w:rPr>
        <w:t xml:space="preserve">atlikti šio įsakymo projekto viešinimą Susisiekimo komunikacijų inžinerinės infrastruktūros vystymo planų rengimo taisyklių 11 punkte nustatyta tvarka </w:t>
      </w:r>
      <w:r w:rsidR="00F873F9" w:rsidRPr="00E837DF">
        <w:rPr>
          <w:color w:val="auto"/>
          <w:sz w:val="24"/>
          <w:szCs w:val="24"/>
        </w:rPr>
        <w:t xml:space="preserve">bei užtikrinti teritorijų planavimo proceso procedūrų vykdymą per TPDRIS. </w:t>
      </w:r>
    </w:p>
    <w:p w14:paraId="1D1AAA0B" w14:textId="47C888BE" w:rsidR="00C02436" w:rsidRPr="00E837DF" w:rsidRDefault="004B2626">
      <w:pPr>
        <w:pStyle w:val="Betarp"/>
        <w:jc w:val="both"/>
        <w:rPr>
          <w:color w:val="auto"/>
          <w:sz w:val="24"/>
          <w:szCs w:val="24"/>
        </w:rPr>
      </w:pPr>
      <w:r w:rsidRPr="00E837DF">
        <w:rPr>
          <w:color w:val="auto"/>
          <w:sz w:val="24"/>
          <w:szCs w:val="24"/>
        </w:rPr>
        <w:tab/>
      </w:r>
      <w:r w:rsidR="001D3B52" w:rsidRPr="00E837DF">
        <w:rPr>
          <w:color w:val="auto"/>
          <w:sz w:val="24"/>
          <w:szCs w:val="24"/>
        </w:rPr>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administracinio teismo Šiaulių rūmams (Dvaro g. 80, Šiauliai) Lietuvos Respublikos administracinių bylų teisenos įstatymo nustatyta tvarka</w:t>
      </w:r>
      <w:r w:rsidR="00361DD1" w:rsidRPr="00E837DF">
        <w:rPr>
          <w:color w:val="auto"/>
          <w:sz w:val="24"/>
          <w:szCs w:val="24"/>
        </w:rPr>
        <w:t>.</w:t>
      </w:r>
    </w:p>
    <w:p w14:paraId="5AFC15C9" w14:textId="77777777" w:rsidR="001D3B52" w:rsidRPr="00E837DF" w:rsidRDefault="001D3B52">
      <w:pPr>
        <w:pStyle w:val="Betarp"/>
        <w:jc w:val="both"/>
        <w:rPr>
          <w:color w:val="auto"/>
          <w:sz w:val="24"/>
          <w:szCs w:val="24"/>
        </w:rPr>
      </w:pPr>
    </w:p>
    <w:p w14:paraId="76718333" w14:textId="77777777" w:rsidR="00F95920" w:rsidRPr="00E837DF" w:rsidRDefault="00F95920">
      <w:pPr>
        <w:pStyle w:val="Betarp"/>
        <w:jc w:val="both"/>
        <w:rPr>
          <w:color w:val="auto"/>
          <w:sz w:val="24"/>
          <w:szCs w:val="24"/>
        </w:rPr>
      </w:pPr>
    </w:p>
    <w:p w14:paraId="6125673F" w14:textId="005B3314" w:rsidR="001F7444" w:rsidRPr="00E837DF" w:rsidRDefault="008E473C" w:rsidP="002B0D03">
      <w:pPr>
        <w:pStyle w:val="Pagrindinistekstas"/>
        <w:spacing w:after="0" w:line="288" w:lineRule="auto"/>
        <w:ind w:left="-284" w:right="-150" w:firstLine="284"/>
        <w:rPr>
          <w:rFonts w:ascii="Times New Roman" w:hAnsi="Times New Roman" w:cs="Times New Roman"/>
          <w:szCs w:val="24"/>
        </w:rPr>
      </w:pPr>
      <w:r w:rsidRPr="00E837DF">
        <w:rPr>
          <w:rFonts w:ascii="Times New Roman" w:hAnsi="Times New Roman" w:cs="Times New Roman"/>
          <w:szCs w:val="24"/>
        </w:rPr>
        <w:t>Administracijos direktorius</w:t>
      </w:r>
      <w:r w:rsidRPr="00E837DF">
        <w:rPr>
          <w:rFonts w:ascii="Times New Roman" w:hAnsi="Times New Roman" w:cs="Times New Roman"/>
          <w:szCs w:val="24"/>
        </w:rPr>
        <w:tab/>
      </w:r>
      <w:r w:rsidRPr="00E837DF">
        <w:rPr>
          <w:rFonts w:ascii="Times New Roman" w:hAnsi="Times New Roman" w:cs="Times New Roman"/>
          <w:szCs w:val="24"/>
        </w:rPr>
        <w:tab/>
      </w:r>
      <w:r w:rsidRPr="00E837DF">
        <w:rPr>
          <w:rFonts w:ascii="Times New Roman" w:hAnsi="Times New Roman" w:cs="Times New Roman"/>
          <w:szCs w:val="24"/>
        </w:rPr>
        <w:tab/>
      </w:r>
      <w:r w:rsidRPr="00E837DF">
        <w:rPr>
          <w:rFonts w:ascii="Times New Roman" w:hAnsi="Times New Roman" w:cs="Times New Roman"/>
          <w:szCs w:val="24"/>
        </w:rPr>
        <w:tab/>
      </w:r>
      <w:r w:rsidRPr="00E837DF">
        <w:rPr>
          <w:rFonts w:ascii="Times New Roman" w:hAnsi="Times New Roman" w:cs="Times New Roman"/>
          <w:szCs w:val="24"/>
        </w:rPr>
        <w:tab/>
      </w:r>
      <w:r w:rsidRPr="00E837DF">
        <w:rPr>
          <w:rFonts w:ascii="Times New Roman" w:hAnsi="Times New Roman" w:cs="Times New Roman"/>
          <w:szCs w:val="24"/>
        </w:rPr>
        <w:tab/>
      </w:r>
      <w:r w:rsidRPr="00E837DF">
        <w:rPr>
          <w:rFonts w:ascii="Times New Roman" w:hAnsi="Times New Roman" w:cs="Times New Roman"/>
          <w:szCs w:val="24"/>
        </w:rPr>
        <w:tab/>
        <w:t>Gipoldas Karklelis</w:t>
      </w:r>
    </w:p>
    <w:sectPr w:rsidR="001F7444" w:rsidRPr="00E837DF" w:rsidSect="0072491F">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8CC76" w14:textId="77777777" w:rsidR="00440A01" w:rsidRDefault="00440A01">
      <w:pPr>
        <w:rPr>
          <w:rFonts w:hint="eastAsia"/>
        </w:rPr>
      </w:pPr>
      <w:r>
        <w:separator/>
      </w:r>
    </w:p>
  </w:endnote>
  <w:endnote w:type="continuationSeparator" w:id="0">
    <w:p w14:paraId="3F9E07E6" w14:textId="77777777" w:rsidR="00440A01" w:rsidRDefault="00440A01">
      <w:pPr>
        <w:rPr>
          <w:rFonts w:hint="eastAsia"/>
        </w:rPr>
      </w:pPr>
      <w:r>
        <w:continuationSeparator/>
      </w:r>
    </w:p>
  </w:endnote>
  <w:endnote w:type="continuationNotice" w:id="1">
    <w:p w14:paraId="59BBD2EA" w14:textId="77777777" w:rsidR="00440A01" w:rsidRDefault="00440A01">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7E81" w14:textId="77777777" w:rsidR="006F1982" w:rsidRDefault="006F198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43AE" w14:textId="77777777" w:rsidR="006F1982" w:rsidRDefault="006F198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5148" w14:textId="77777777" w:rsidR="006F1982" w:rsidRDefault="006F198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35E53" w14:textId="77777777" w:rsidR="00440A01" w:rsidRDefault="00440A01">
      <w:pPr>
        <w:rPr>
          <w:rFonts w:hint="eastAsia"/>
        </w:rPr>
      </w:pPr>
      <w:r>
        <w:rPr>
          <w:color w:val="000000"/>
        </w:rPr>
        <w:separator/>
      </w:r>
    </w:p>
  </w:footnote>
  <w:footnote w:type="continuationSeparator" w:id="0">
    <w:p w14:paraId="5BE8A1FE" w14:textId="77777777" w:rsidR="00440A01" w:rsidRDefault="00440A01">
      <w:pPr>
        <w:rPr>
          <w:rFonts w:hint="eastAsia"/>
        </w:rPr>
      </w:pPr>
      <w:r>
        <w:continuationSeparator/>
      </w:r>
    </w:p>
  </w:footnote>
  <w:footnote w:type="continuationNotice" w:id="1">
    <w:p w14:paraId="13FD67A1" w14:textId="77777777" w:rsidR="00440A01" w:rsidRDefault="00440A01">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F2DF" w14:textId="77777777" w:rsidR="006F1982" w:rsidRDefault="006F198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979041"/>
      <w:docPartObj>
        <w:docPartGallery w:val="Page Numbers (Top of Page)"/>
        <w:docPartUnique/>
      </w:docPartObj>
    </w:sdtPr>
    <w:sdtContent>
      <w:p w14:paraId="1E6AD68E" w14:textId="077A14C6" w:rsidR="0072491F" w:rsidRDefault="0072491F">
        <w:pPr>
          <w:pStyle w:val="Antrats"/>
          <w:jc w:val="center"/>
        </w:pPr>
        <w:r>
          <w:fldChar w:fldCharType="begin"/>
        </w:r>
        <w:r>
          <w:instrText>PAGE   \* MERGEFORMAT</w:instrText>
        </w:r>
        <w:r>
          <w:fldChar w:fldCharType="separate"/>
        </w:r>
        <w:r>
          <w:t>2</w:t>
        </w:r>
        <w:r>
          <w:fldChar w:fldCharType="end"/>
        </w:r>
      </w:p>
    </w:sdtContent>
  </w:sdt>
  <w:p w14:paraId="59779F89" w14:textId="77777777" w:rsidR="0072491F" w:rsidRDefault="0072491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0C46" w14:textId="2EFC2B83" w:rsidR="00BB621A" w:rsidRPr="00BB621A" w:rsidRDefault="00BB621A" w:rsidP="00BB621A">
    <w:pPr>
      <w:pStyle w:val="Antrats"/>
      <w:jc w:val="right"/>
      <w:rPr>
        <w:b/>
        <w:bCs/>
        <w:sz w:val="28"/>
        <w:szCs w:val="28"/>
      </w:rPr>
    </w:pPr>
    <w:r w:rsidRPr="00BB621A">
      <w:rPr>
        <w:b/>
        <w:bCs/>
        <w:sz w:val="28"/>
        <w:szCs w:val="28"/>
      </w:rPr>
      <w:t>ĮSAKYMO PROJEKTAS VIEŠINAMAS IKI LAPKRIČIO 1</w:t>
    </w:r>
    <w:r w:rsidR="006F1982">
      <w:rPr>
        <w:b/>
        <w:bCs/>
        <w:sz w:val="28"/>
        <w:szCs w:val="28"/>
      </w:rPr>
      <w:t>9</w:t>
    </w:r>
    <w:r w:rsidRPr="00BB621A">
      <w:rPr>
        <w:b/>
        <w:bCs/>
        <w:sz w:val="28"/>
        <w:szCs w:val="28"/>
      </w:rPr>
      <w:t xml:space="preserve">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A68EA"/>
    <w:multiLevelType w:val="multilevel"/>
    <w:tmpl w:val="2E0A89B8"/>
    <w:styleLink w:val="WWNum1"/>
    <w:lvl w:ilvl="0">
      <w:start w:val="1"/>
      <w:numFmt w:val="none"/>
      <w:lvlText w:val="%1"/>
      <w:lvlJc w:val="left"/>
      <w:pPr>
        <w:ind w:left="720" w:firstLine="0"/>
      </w:pPr>
    </w:lvl>
    <w:lvl w:ilvl="1">
      <w:start w:val="1"/>
      <w:numFmt w:val="none"/>
      <w:lvlText w:val="%2"/>
      <w:lvlJc w:val="left"/>
      <w:pPr>
        <w:ind w:left="1080" w:firstLine="0"/>
      </w:pPr>
    </w:lvl>
    <w:lvl w:ilvl="2">
      <w:start w:val="1"/>
      <w:numFmt w:val="none"/>
      <w:lvlText w:val="%3"/>
      <w:lvlJc w:val="left"/>
      <w:pPr>
        <w:ind w:left="1440" w:firstLine="0"/>
      </w:pPr>
    </w:lvl>
    <w:lvl w:ilvl="3">
      <w:start w:val="1"/>
      <w:numFmt w:val="none"/>
      <w:lvlText w:val="%4"/>
      <w:lvlJc w:val="left"/>
      <w:pPr>
        <w:ind w:left="1800" w:firstLine="0"/>
      </w:pPr>
    </w:lvl>
    <w:lvl w:ilvl="4">
      <w:start w:val="1"/>
      <w:numFmt w:val="none"/>
      <w:lvlText w:val="%5"/>
      <w:lvlJc w:val="left"/>
      <w:pPr>
        <w:ind w:left="2160" w:firstLine="0"/>
      </w:pPr>
    </w:lvl>
    <w:lvl w:ilvl="5">
      <w:start w:val="1"/>
      <w:numFmt w:val="none"/>
      <w:lvlText w:val="%6"/>
      <w:lvlJc w:val="left"/>
      <w:pPr>
        <w:ind w:left="2520" w:firstLine="0"/>
      </w:pPr>
    </w:lvl>
    <w:lvl w:ilvl="6">
      <w:start w:val="1"/>
      <w:numFmt w:val="none"/>
      <w:lvlText w:val="%7"/>
      <w:lvlJc w:val="left"/>
      <w:pPr>
        <w:ind w:left="2880" w:firstLine="0"/>
      </w:pPr>
    </w:lvl>
    <w:lvl w:ilvl="7">
      <w:start w:val="1"/>
      <w:numFmt w:val="none"/>
      <w:lvlText w:val="%8"/>
      <w:lvlJc w:val="left"/>
      <w:pPr>
        <w:ind w:left="3240" w:firstLine="0"/>
      </w:pPr>
    </w:lvl>
    <w:lvl w:ilvl="8">
      <w:start w:val="1"/>
      <w:numFmt w:val="none"/>
      <w:lvlText w:val="%9"/>
      <w:lvlJc w:val="left"/>
      <w:pPr>
        <w:ind w:left="3600" w:firstLine="0"/>
      </w:pPr>
    </w:lvl>
  </w:abstractNum>
  <w:abstractNum w:abstractNumId="1" w15:restartNumberingAfterBreak="0">
    <w:nsid w:val="6E7C6CAD"/>
    <w:multiLevelType w:val="multilevel"/>
    <w:tmpl w:val="FA7646DA"/>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626935752">
    <w:abstractNumId w:val="0"/>
  </w:num>
  <w:num w:numId="2" w16cid:durableId="500853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autoHyphenation/>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972"/>
    <w:rsid w:val="00016048"/>
    <w:rsid w:val="00026E97"/>
    <w:rsid w:val="00050143"/>
    <w:rsid w:val="00050207"/>
    <w:rsid w:val="0008002E"/>
    <w:rsid w:val="00084AAE"/>
    <w:rsid w:val="000B2F78"/>
    <w:rsid w:val="000C38C3"/>
    <w:rsid w:val="000D4450"/>
    <w:rsid w:val="000E3FFB"/>
    <w:rsid w:val="001041E2"/>
    <w:rsid w:val="001139B4"/>
    <w:rsid w:val="00131E02"/>
    <w:rsid w:val="001455D0"/>
    <w:rsid w:val="00146690"/>
    <w:rsid w:val="00164411"/>
    <w:rsid w:val="001742A4"/>
    <w:rsid w:val="00175DC2"/>
    <w:rsid w:val="001806EE"/>
    <w:rsid w:val="00181B66"/>
    <w:rsid w:val="001835A7"/>
    <w:rsid w:val="00197CEF"/>
    <w:rsid w:val="001C1A37"/>
    <w:rsid w:val="001C5AA0"/>
    <w:rsid w:val="001D03D5"/>
    <w:rsid w:val="001D3B52"/>
    <w:rsid w:val="001E2115"/>
    <w:rsid w:val="001F7444"/>
    <w:rsid w:val="00200704"/>
    <w:rsid w:val="00224188"/>
    <w:rsid w:val="00245E3A"/>
    <w:rsid w:val="0025176C"/>
    <w:rsid w:val="002537B4"/>
    <w:rsid w:val="002659A9"/>
    <w:rsid w:val="00266534"/>
    <w:rsid w:val="0027628F"/>
    <w:rsid w:val="00293549"/>
    <w:rsid w:val="002A1CB1"/>
    <w:rsid w:val="002A2B92"/>
    <w:rsid w:val="002A4992"/>
    <w:rsid w:val="002B0D03"/>
    <w:rsid w:val="002D4434"/>
    <w:rsid w:val="003051A1"/>
    <w:rsid w:val="003071AC"/>
    <w:rsid w:val="00310A68"/>
    <w:rsid w:val="0031331E"/>
    <w:rsid w:val="00330340"/>
    <w:rsid w:val="00360562"/>
    <w:rsid w:val="00361DD1"/>
    <w:rsid w:val="00363802"/>
    <w:rsid w:val="00366CDE"/>
    <w:rsid w:val="0037100E"/>
    <w:rsid w:val="00380653"/>
    <w:rsid w:val="00392DD0"/>
    <w:rsid w:val="003A0D29"/>
    <w:rsid w:val="003B0139"/>
    <w:rsid w:val="003E7850"/>
    <w:rsid w:val="003F6459"/>
    <w:rsid w:val="004010DE"/>
    <w:rsid w:val="00401801"/>
    <w:rsid w:val="00440A01"/>
    <w:rsid w:val="004464CA"/>
    <w:rsid w:val="00470D12"/>
    <w:rsid w:val="004A5632"/>
    <w:rsid w:val="004A7F48"/>
    <w:rsid w:val="004B2626"/>
    <w:rsid w:val="004B28AD"/>
    <w:rsid w:val="004C4C7B"/>
    <w:rsid w:val="004F4ED7"/>
    <w:rsid w:val="00513324"/>
    <w:rsid w:val="00517332"/>
    <w:rsid w:val="00556213"/>
    <w:rsid w:val="005628C5"/>
    <w:rsid w:val="0059019B"/>
    <w:rsid w:val="00595240"/>
    <w:rsid w:val="005C484C"/>
    <w:rsid w:val="005D04C0"/>
    <w:rsid w:val="005E489D"/>
    <w:rsid w:val="00601152"/>
    <w:rsid w:val="00656BDF"/>
    <w:rsid w:val="00670470"/>
    <w:rsid w:val="006A5D5E"/>
    <w:rsid w:val="006A6970"/>
    <w:rsid w:val="006D00DD"/>
    <w:rsid w:val="006D15FF"/>
    <w:rsid w:val="006E7C92"/>
    <w:rsid w:val="006F1982"/>
    <w:rsid w:val="006F2165"/>
    <w:rsid w:val="006F3CF0"/>
    <w:rsid w:val="007004D2"/>
    <w:rsid w:val="0071440B"/>
    <w:rsid w:val="00715BEE"/>
    <w:rsid w:val="0072491F"/>
    <w:rsid w:val="00725E96"/>
    <w:rsid w:val="007362A0"/>
    <w:rsid w:val="0073788D"/>
    <w:rsid w:val="0074412C"/>
    <w:rsid w:val="00750D5F"/>
    <w:rsid w:val="00765245"/>
    <w:rsid w:val="00775972"/>
    <w:rsid w:val="007B17A9"/>
    <w:rsid w:val="007B19B4"/>
    <w:rsid w:val="007B5F10"/>
    <w:rsid w:val="007F3335"/>
    <w:rsid w:val="007F5E4F"/>
    <w:rsid w:val="00807887"/>
    <w:rsid w:val="0083009E"/>
    <w:rsid w:val="00835111"/>
    <w:rsid w:val="0084123A"/>
    <w:rsid w:val="00844AF0"/>
    <w:rsid w:val="00862F66"/>
    <w:rsid w:val="00862FB1"/>
    <w:rsid w:val="008A67CE"/>
    <w:rsid w:val="008E473C"/>
    <w:rsid w:val="00905E24"/>
    <w:rsid w:val="009136E2"/>
    <w:rsid w:val="00924CBE"/>
    <w:rsid w:val="0093221A"/>
    <w:rsid w:val="00934791"/>
    <w:rsid w:val="00972E4C"/>
    <w:rsid w:val="00980F78"/>
    <w:rsid w:val="00986B44"/>
    <w:rsid w:val="00990326"/>
    <w:rsid w:val="009F33A1"/>
    <w:rsid w:val="00A037A2"/>
    <w:rsid w:val="00A51736"/>
    <w:rsid w:val="00A87F69"/>
    <w:rsid w:val="00AB1338"/>
    <w:rsid w:val="00AB4581"/>
    <w:rsid w:val="00AD1306"/>
    <w:rsid w:val="00AD66BC"/>
    <w:rsid w:val="00AE71A0"/>
    <w:rsid w:val="00AF4CFC"/>
    <w:rsid w:val="00B002CF"/>
    <w:rsid w:val="00B03B43"/>
    <w:rsid w:val="00B27D15"/>
    <w:rsid w:val="00B60A41"/>
    <w:rsid w:val="00B94D34"/>
    <w:rsid w:val="00BB621A"/>
    <w:rsid w:val="00BB706F"/>
    <w:rsid w:val="00BC78E5"/>
    <w:rsid w:val="00BE2F59"/>
    <w:rsid w:val="00BF1D3F"/>
    <w:rsid w:val="00C02436"/>
    <w:rsid w:val="00C03A12"/>
    <w:rsid w:val="00C221EC"/>
    <w:rsid w:val="00C32A17"/>
    <w:rsid w:val="00C34416"/>
    <w:rsid w:val="00C647DC"/>
    <w:rsid w:val="00C7665B"/>
    <w:rsid w:val="00C85DA9"/>
    <w:rsid w:val="00C967C0"/>
    <w:rsid w:val="00CA5D9C"/>
    <w:rsid w:val="00CB05AF"/>
    <w:rsid w:val="00CF3269"/>
    <w:rsid w:val="00D03776"/>
    <w:rsid w:val="00D321D3"/>
    <w:rsid w:val="00D33679"/>
    <w:rsid w:val="00D35761"/>
    <w:rsid w:val="00D36EAA"/>
    <w:rsid w:val="00D40EC8"/>
    <w:rsid w:val="00D43CD2"/>
    <w:rsid w:val="00D47073"/>
    <w:rsid w:val="00D922F0"/>
    <w:rsid w:val="00D953D1"/>
    <w:rsid w:val="00DA4B97"/>
    <w:rsid w:val="00DB123A"/>
    <w:rsid w:val="00DF147C"/>
    <w:rsid w:val="00DF2BE3"/>
    <w:rsid w:val="00E407E8"/>
    <w:rsid w:val="00E42133"/>
    <w:rsid w:val="00E65E1E"/>
    <w:rsid w:val="00E837DF"/>
    <w:rsid w:val="00E84302"/>
    <w:rsid w:val="00E951D7"/>
    <w:rsid w:val="00E96E68"/>
    <w:rsid w:val="00EB3BD2"/>
    <w:rsid w:val="00EC3597"/>
    <w:rsid w:val="00ED533D"/>
    <w:rsid w:val="00ED791A"/>
    <w:rsid w:val="00ED7B9C"/>
    <w:rsid w:val="00EE4052"/>
    <w:rsid w:val="00EF1EB1"/>
    <w:rsid w:val="00F04450"/>
    <w:rsid w:val="00F31070"/>
    <w:rsid w:val="00F31ECC"/>
    <w:rsid w:val="00F8662E"/>
    <w:rsid w:val="00F873F9"/>
    <w:rsid w:val="00F95920"/>
    <w:rsid w:val="00FA1356"/>
    <w:rsid w:val="00FB3A24"/>
    <w:rsid w:val="00FB578A"/>
    <w:rsid w:val="00FB7351"/>
    <w:rsid w:val="00FD355F"/>
    <w:rsid w:val="00FF226C"/>
    <w:rsid w:val="00FF5D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C2DF"/>
  <w15:docId w15:val="{0F3AF8AD-BB5E-4CA6-9640-9E8D6DCB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ial Unicode MS" w:hAnsi="Liberation Serif" w:cs="Mangal"/>
        <w:kern w:val="3"/>
        <w:sz w:val="24"/>
        <w:szCs w:val="24"/>
        <w:lang w:val="lt-L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Standard"/>
    <w:next w:val="Textbody"/>
    <w:uiPriority w:val="9"/>
    <w:qFormat/>
    <w:pPr>
      <w:keepNext/>
      <w:outlineLvl w:val="0"/>
    </w:pPr>
    <w:rPr>
      <w:sz w:val="24"/>
    </w:rPr>
  </w:style>
  <w:style w:type="paragraph" w:styleId="Antrat2">
    <w:name w:val="heading 2"/>
    <w:basedOn w:val="Standard"/>
    <w:next w:val="Textbody"/>
    <w:uiPriority w:val="9"/>
    <w:semiHidden/>
    <w:unhideWhenUsed/>
    <w:qFormat/>
    <w:pPr>
      <w:keepNext/>
      <w:outlineLvl w:val="1"/>
    </w:pPr>
    <w:rPr>
      <w:b/>
      <w:sz w:val="24"/>
    </w:rPr>
  </w:style>
  <w:style w:type="paragraph" w:styleId="Antrat3">
    <w:name w:val="heading 3"/>
    <w:basedOn w:val="Standard"/>
    <w:next w:val="Textbody"/>
    <w:uiPriority w:val="9"/>
    <w:semiHidden/>
    <w:unhideWhenUsed/>
    <w:qFormat/>
    <w:pPr>
      <w:keepNext/>
      <w:jc w:val="center"/>
      <w:outlineLvl w:val="2"/>
    </w:pPr>
    <w:rPr>
      <w:sz w:val="24"/>
    </w:rPr>
  </w:style>
  <w:style w:type="paragraph" w:styleId="Antrat4">
    <w:name w:val="heading 4"/>
    <w:basedOn w:val="Standard"/>
    <w:next w:val="Textbody"/>
    <w:uiPriority w:val="9"/>
    <w:semiHidden/>
    <w:unhideWhenUsed/>
    <w:qFormat/>
    <w:pPr>
      <w:keepNext/>
      <w:jc w:val="both"/>
      <w:outlineLvl w:val="3"/>
    </w:pPr>
    <w:rPr>
      <w:sz w:val="24"/>
    </w:rPr>
  </w:style>
  <w:style w:type="paragraph" w:styleId="Antrat5">
    <w:name w:val="heading 5"/>
    <w:basedOn w:val="Standard"/>
    <w:next w:val="Textbody"/>
    <w:uiPriority w:val="9"/>
    <w:semiHidden/>
    <w:unhideWhenUsed/>
    <w:qFormat/>
    <w:pPr>
      <w:keepNext/>
      <w:ind w:left="5760"/>
      <w:outlineLvl w:val="4"/>
    </w:pPr>
    <w:rPr>
      <w:b/>
      <w:sz w:val="24"/>
    </w:rPr>
  </w:style>
  <w:style w:type="paragraph" w:styleId="Antrat6">
    <w:name w:val="heading 6"/>
    <w:basedOn w:val="Standard"/>
    <w:next w:val="Textbody"/>
    <w:uiPriority w:val="9"/>
    <w:semiHidden/>
    <w:unhideWhenUsed/>
    <w:qFormat/>
    <w:pPr>
      <w:keepNext/>
      <w:jc w:val="both"/>
      <w:outlineLvl w:val="5"/>
    </w:pPr>
    <w:rPr>
      <w:b/>
      <w:color w:val="000000"/>
    </w:rPr>
  </w:style>
  <w:style w:type="paragraph" w:styleId="Antrat7">
    <w:name w:val="heading 7"/>
    <w:basedOn w:val="Standard"/>
    <w:next w:val="Textbody"/>
    <w:pPr>
      <w:keepNext/>
      <w:jc w:val="center"/>
      <w:outlineLvl w:val="6"/>
    </w:pPr>
    <w:rPr>
      <w:b/>
      <w:sz w:val="24"/>
    </w:rPr>
  </w:style>
  <w:style w:type="paragraph" w:styleId="Antrat8">
    <w:name w:val="heading 8"/>
    <w:basedOn w:val="Standard"/>
    <w:next w:val="Textbody"/>
    <w:pPr>
      <w:keepNext/>
      <w:jc w:val="both"/>
      <w:outlineLvl w:val="7"/>
    </w:pPr>
    <w:rPr>
      <w:color w:val="000000"/>
      <w:sz w:val="24"/>
    </w:rPr>
  </w:style>
  <w:style w:type="paragraph" w:styleId="Antrat9">
    <w:name w:val="heading 9"/>
    <w:basedOn w:val="Standard"/>
    <w:next w:val="Textbody"/>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rFonts w:ascii="Times New Roman" w:eastAsia="Times New Roman" w:hAnsi="Times New Roman" w:cs="Times New Roman"/>
      <w:color w:val="00000A"/>
      <w:sz w:val="20"/>
      <w:szCs w:val="20"/>
      <w:lang w:bidi="ar-SA"/>
    </w:rPr>
  </w:style>
  <w:style w:type="paragraph" w:styleId="Pavadinimas">
    <w:name w:val="Title"/>
    <w:basedOn w:val="Standard"/>
    <w:next w:val="Textbody"/>
    <w:uiPriority w:val="10"/>
    <w:qFormat/>
    <w:pPr>
      <w:keepNext/>
      <w:suppressLineNumbers/>
      <w:spacing w:before="120" w:after="120"/>
    </w:pPr>
    <w:rPr>
      <w:rFonts w:ascii="Liberation Sans" w:eastAsia="Droid Sans Fallback" w:hAnsi="Liberation Sans" w:cs="Tahoma"/>
      <w:i/>
      <w:iCs/>
      <w:sz w:val="28"/>
      <w:szCs w:val="28"/>
    </w:rPr>
  </w:style>
  <w:style w:type="paragraph" w:customStyle="1" w:styleId="Textbody">
    <w:name w:val="Text body"/>
    <w:basedOn w:val="Standard"/>
    <w:pPr>
      <w:spacing w:after="120" w:line="288" w:lineRule="auto"/>
      <w:jc w:val="both"/>
    </w:pPr>
    <w:rPr>
      <w:sz w:val="24"/>
    </w:rPr>
  </w:style>
  <w:style w:type="paragraph" w:styleId="Paantrat">
    <w:name w:val="Subtitle"/>
    <w:basedOn w:val="Pavadinimas"/>
    <w:next w:val="Textbody"/>
    <w:uiPriority w:val="11"/>
    <w:qFormat/>
    <w:pPr>
      <w:jc w:val="center"/>
    </w:pPr>
  </w:style>
  <w:style w:type="paragraph" w:styleId="Sraas">
    <w:name w:val="List"/>
    <w:basedOn w:val="Textbody"/>
    <w:rPr>
      <w:rFonts w:cs="Tahoma"/>
    </w:rPr>
  </w:style>
  <w:style w:type="paragraph" w:styleId="Antrat">
    <w:name w:val="caption"/>
    <w:basedOn w:val="Standard"/>
    <w:pPr>
      <w:keepNext/>
      <w:spacing w:before="240" w:after="120"/>
    </w:pPr>
    <w:rPr>
      <w:rFonts w:ascii="Arial" w:eastAsia="Lucida Sans Unicode" w:hAnsi="Arial" w:cs="Tahoma"/>
      <w:sz w:val="28"/>
      <w:szCs w:val="28"/>
    </w:rPr>
  </w:style>
  <w:style w:type="paragraph" w:customStyle="1" w:styleId="Index">
    <w:name w:val="Index"/>
    <w:basedOn w:val="Standard"/>
    <w:pPr>
      <w:suppressLineNumbers/>
    </w:pPr>
    <w:rPr>
      <w:rFonts w:cs="Tahoma"/>
    </w:rPr>
  </w:style>
  <w:style w:type="paragraph" w:customStyle="1" w:styleId="Textbodyindent">
    <w:name w:val="Text body indent"/>
    <w:basedOn w:val="Standard"/>
    <w:pPr>
      <w:ind w:left="283"/>
    </w:pPr>
    <w:rPr>
      <w:sz w:val="24"/>
    </w:rPr>
  </w:style>
  <w:style w:type="paragraph" w:styleId="Porat">
    <w:name w:val="footer"/>
    <w:basedOn w:val="Standard"/>
    <w:pPr>
      <w:suppressLineNumbers/>
      <w:tabs>
        <w:tab w:val="center" w:pos="4819"/>
        <w:tab w:val="right" w:pos="9638"/>
      </w:tabs>
    </w:pPr>
  </w:style>
  <w:style w:type="paragraph" w:styleId="Pagrindinistekstas3">
    <w:name w:val="Body Text 3"/>
    <w:basedOn w:val="Standard"/>
    <w:pPr>
      <w:jc w:val="center"/>
    </w:pPr>
    <w:rPr>
      <w:b/>
      <w:sz w:val="24"/>
    </w:rPr>
  </w:style>
  <w:style w:type="paragraph" w:styleId="Debesliotekstas">
    <w:name w:val="Balloon Text"/>
    <w:basedOn w:val="Standard"/>
    <w:rPr>
      <w:rFonts w:ascii="Tahoma" w:hAnsi="Tahoma" w:cs="Tahoma"/>
      <w:sz w:val="16"/>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i/>
      <w:iCs/>
    </w:rPr>
  </w:style>
  <w:style w:type="paragraph" w:customStyle="1" w:styleId="HeaderandFooter">
    <w:name w:val="Header and Footer"/>
    <w:basedOn w:val="Standard"/>
  </w:style>
  <w:style w:type="paragraph" w:styleId="Antrats">
    <w:name w:val="header"/>
    <w:basedOn w:val="Standard"/>
    <w:uiPriority w:val="99"/>
    <w:pPr>
      <w:suppressLineNumbers/>
      <w:tabs>
        <w:tab w:val="center" w:pos="4819"/>
        <w:tab w:val="right" w:pos="9638"/>
      </w:tabs>
    </w:pPr>
  </w:style>
  <w:style w:type="paragraph" w:styleId="Betarp">
    <w:name w:val="No Spacing"/>
    <w:qFormat/>
    <w:pPr>
      <w:widowControl/>
    </w:pPr>
    <w:rPr>
      <w:rFonts w:ascii="Times New Roman" w:eastAsia="Times New Roman" w:hAnsi="Times New Roman" w:cs="Times New Roman"/>
      <w:color w:val="00000A"/>
      <w:sz w:val="20"/>
      <w:szCs w:val="20"/>
      <w:lang w:bidi="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character" w:customStyle="1" w:styleId="PagrindinistekstasDiagrama">
    <w:name w:val="Pagrindinis tekstas Diagrama"/>
    <w:basedOn w:val="Numatytasispastraiposriftas"/>
    <w:rPr>
      <w:rFonts w:ascii="Times New Roman" w:eastAsia="Times New Roman" w:hAnsi="Times New Roman" w:cs="Times New Roman"/>
      <w:color w:val="00000A"/>
      <w:szCs w:val="20"/>
      <w:lang w:bidi="ar-SA"/>
    </w:rPr>
  </w:style>
  <w:style w:type="character" w:customStyle="1" w:styleId="AntratsDiagrama">
    <w:name w:val="Antraštės Diagrama"/>
    <w:basedOn w:val="Numatytasispastraiposriftas"/>
    <w:uiPriority w:val="99"/>
    <w:rPr>
      <w:rFonts w:ascii="Times New Roman" w:eastAsia="Times New Roman" w:hAnsi="Times New Roman" w:cs="Times New Roman"/>
      <w:color w:val="00000A"/>
      <w:sz w:val="20"/>
      <w:szCs w:val="20"/>
      <w:lang w:bidi="ar-SA"/>
    </w:rPr>
  </w:style>
  <w:style w:type="character" w:customStyle="1" w:styleId="PoratDiagrama">
    <w:name w:val="Poraštė Diagrama"/>
    <w:basedOn w:val="Numatytasispastraiposriftas"/>
    <w:rPr>
      <w:rFonts w:ascii="Times New Roman" w:eastAsia="Times New Roman" w:hAnsi="Times New Roman" w:cs="Times New Roman"/>
      <w:color w:val="00000A"/>
      <w:sz w:val="20"/>
      <w:szCs w:val="20"/>
      <w:lang w:bidi="ar-SA"/>
    </w:rPr>
  </w:style>
  <w:style w:type="character" w:customStyle="1" w:styleId="NumberingSymbols">
    <w:name w:val="Numbering Symbols"/>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paragraph" w:styleId="Pagrindinistekstas">
    <w:name w:val="Body Text"/>
    <w:basedOn w:val="prastasis"/>
    <w:link w:val="PagrindinistekstasDiagrama1"/>
    <w:uiPriority w:val="99"/>
    <w:semiHidden/>
    <w:unhideWhenUsed/>
    <w:rsid w:val="00986B44"/>
    <w:pPr>
      <w:spacing w:after="120"/>
    </w:pPr>
    <w:rPr>
      <w:szCs w:val="21"/>
    </w:rPr>
  </w:style>
  <w:style w:type="character" w:customStyle="1" w:styleId="PagrindinistekstasDiagrama1">
    <w:name w:val="Pagrindinis tekstas Diagrama1"/>
    <w:basedOn w:val="Numatytasispastraiposriftas"/>
    <w:link w:val="Pagrindinistekstas"/>
    <w:uiPriority w:val="99"/>
    <w:semiHidden/>
    <w:rsid w:val="00986B44"/>
    <w:rPr>
      <w:szCs w:val="21"/>
    </w:rPr>
  </w:style>
  <w:style w:type="paragraph" w:styleId="Pagrindiniotekstotrauka">
    <w:name w:val="Body Text Indent"/>
    <w:basedOn w:val="prastasis"/>
    <w:link w:val="PagrindiniotekstotraukaDiagrama"/>
    <w:uiPriority w:val="99"/>
    <w:semiHidden/>
    <w:unhideWhenUsed/>
    <w:rsid w:val="001D3B52"/>
    <w:pPr>
      <w:spacing w:after="120"/>
      <w:ind w:left="283"/>
    </w:pPr>
    <w:rPr>
      <w:szCs w:val="21"/>
    </w:rPr>
  </w:style>
  <w:style w:type="character" w:customStyle="1" w:styleId="PagrindiniotekstotraukaDiagrama">
    <w:name w:val="Pagrindinio teksto įtrauka Diagrama"/>
    <w:basedOn w:val="Numatytasispastraiposriftas"/>
    <w:link w:val="Pagrindiniotekstotrauka"/>
    <w:uiPriority w:val="99"/>
    <w:semiHidden/>
    <w:rsid w:val="001D3B52"/>
    <w:rPr>
      <w:szCs w:val="21"/>
    </w:rPr>
  </w:style>
  <w:style w:type="character" w:styleId="Hipersaitas">
    <w:name w:val="Hyperlink"/>
    <w:basedOn w:val="Numatytasispastraiposriftas"/>
    <w:uiPriority w:val="99"/>
    <w:unhideWhenUsed/>
    <w:rsid w:val="00ED791A"/>
    <w:rPr>
      <w:color w:val="0563C1" w:themeColor="hyperlink"/>
      <w:u w:val="single"/>
    </w:rPr>
  </w:style>
  <w:style w:type="character" w:styleId="Neapdorotaspaminjimas">
    <w:name w:val="Unresolved Mention"/>
    <w:basedOn w:val="Numatytasispastraiposriftas"/>
    <w:uiPriority w:val="99"/>
    <w:semiHidden/>
    <w:unhideWhenUsed/>
    <w:rsid w:val="00ED791A"/>
    <w:rPr>
      <w:color w:val="605E5C"/>
      <w:shd w:val="clear" w:color="auto" w:fill="E1DFDD"/>
    </w:rPr>
  </w:style>
  <w:style w:type="character" w:styleId="Komentaronuoroda">
    <w:name w:val="annotation reference"/>
    <w:basedOn w:val="Numatytasispastraiposriftas"/>
    <w:uiPriority w:val="99"/>
    <w:semiHidden/>
    <w:unhideWhenUsed/>
    <w:rsid w:val="00E951D7"/>
    <w:rPr>
      <w:sz w:val="16"/>
      <w:szCs w:val="16"/>
    </w:rPr>
  </w:style>
  <w:style w:type="paragraph" w:styleId="Komentarotekstas">
    <w:name w:val="annotation text"/>
    <w:basedOn w:val="prastasis"/>
    <w:link w:val="KomentarotekstasDiagrama"/>
    <w:uiPriority w:val="99"/>
    <w:unhideWhenUsed/>
    <w:rsid w:val="00E951D7"/>
    <w:rPr>
      <w:sz w:val="20"/>
      <w:szCs w:val="18"/>
    </w:rPr>
  </w:style>
  <w:style w:type="character" w:customStyle="1" w:styleId="KomentarotekstasDiagrama">
    <w:name w:val="Komentaro tekstas Diagrama"/>
    <w:basedOn w:val="Numatytasispastraiposriftas"/>
    <w:link w:val="Komentarotekstas"/>
    <w:uiPriority w:val="99"/>
    <w:rsid w:val="00E951D7"/>
    <w:rPr>
      <w:sz w:val="20"/>
      <w:szCs w:val="18"/>
    </w:rPr>
  </w:style>
  <w:style w:type="paragraph" w:styleId="Komentarotema">
    <w:name w:val="annotation subject"/>
    <w:basedOn w:val="Komentarotekstas"/>
    <w:next w:val="Komentarotekstas"/>
    <w:link w:val="KomentarotemaDiagrama"/>
    <w:uiPriority w:val="99"/>
    <w:semiHidden/>
    <w:unhideWhenUsed/>
    <w:rsid w:val="00E951D7"/>
    <w:rPr>
      <w:b/>
      <w:bCs/>
    </w:rPr>
  </w:style>
  <w:style w:type="character" w:customStyle="1" w:styleId="KomentarotemaDiagrama">
    <w:name w:val="Komentaro tema Diagrama"/>
    <w:basedOn w:val="KomentarotekstasDiagrama"/>
    <w:link w:val="Komentarotema"/>
    <w:uiPriority w:val="99"/>
    <w:semiHidden/>
    <w:rsid w:val="00E951D7"/>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75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1804</Words>
  <Characters>1029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LIETUVOS RESPUBLIKA</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5</cp:revision>
  <cp:lastPrinted>2025-11-05T09:51:00Z</cp:lastPrinted>
  <dcterms:created xsi:type="dcterms:W3CDTF">2025-11-04T14:28:00Z</dcterms:created>
  <dcterms:modified xsi:type="dcterms:W3CDTF">2025-11-05T13:01:00Z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