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9E5EA"/>
  <w:body>
    <w:p w14:paraId="3EFFFF2D" w14:textId="0DD219D6" w:rsidR="009D01FC" w:rsidRPr="00B65B53" w:rsidRDefault="009D01FC" w:rsidP="000A4E90">
      <w:pPr>
        <w:spacing w:line="276" w:lineRule="auto"/>
        <w:rPr>
          <w:rFonts w:ascii="Atkinson Hyperlegible" w:hAnsi="Atkinson Hyperlegible"/>
          <w:b/>
          <w:bCs/>
          <w:color w:val="213548"/>
          <w:sz w:val="44"/>
          <w:szCs w:val="44"/>
        </w:rPr>
      </w:pPr>
      <w:r w:rsidRPr="00B65B53">
        <w:rPr>
          <w:rFonts w:ascii="Atkinson Hyperlegible" w:hAnsi="Atkinson Hyperlegible"/>
          <w:b/>
          <w:bCs/>
          <w:color w:val="213548"/>
          <w:sz w:val="44"/>
          <w:szCs w:val="44"/>
        </w:rPr>
        <w:t>DISKRIMINACIJOS FORMOS</w:t>
      </w:r>
    </w:p>
    <w:p w14:paraId="331AD9B0" w14:textId="281DF41B" w:rsidR="00B65B53" w:rsidRPr="000A4E90" w:rsidRDefault="009D01FC" w:rsidP="00B65B53">
      <w:pPr>
        <w:spacing w:before="240" w:line="480" w:lineRule="auto"/>
        <w:rPr>
          <w:rFonts w:ascii="Atkinson Hyperlegible" w:hAnsi="Atkinson Hyperlegible"/>
          <w:color w:val="213548"/>
          <w:sz w:val="24"/>
          <w:szCs w:val="24"/>
        </w:rPr>
      </w:pPr>
      <w:r w:rsidRPr="00B65B53">
        <w:rPr>
          <w:rFonts w:ascii="Atkinson Hyperlegible" w:hAnsi="Atkinson Hyperlegible"/>
          <w:color w:val="213548"/>
          <w:sz w:val="24"/>
          <w:szCs w:val="24"/>
        </w:rPr>
        <w:t>Diskriminacija gali pasireikšti įvairiais būdais:</w:t>
      </w:r>
    </w:p>
    <w:tbl>
      <w:tblPr>
        <w:tblStyle w:val="Lentelstinklelis"/>
        <w:tblW w:w="0" w:type="auto"/>
        <w:tblBorders>
          <w:top w:val="single" w:sz="18" w:space="0" w:color="213547"/>
          <w:left w:val="single" w:sz="18" w:space="0" w:color="213547"/>
          <w:bottom w:val="single" w:sz="18" w:space="0" w:color="213547"/>
          <w:right w:val="single" w:sz="18" w:space="0" w:color="213547"/>
          <w:insideH w:val="none" w:sz="0" w:space="0" w:color="auto"/>
          <w:insideV w:val="none" w:sz="0" w:space="0" w:color="auto"/>
        </w:tblBorders>
        <w:tblCellMar>
          <w:top w:w="170" w:type="dxa"/>
          <w:left w:w="284" w:type="dxa"/>
          <w:bottom w:w="170" w:type="dxa"/>
          <w:right w:w="284" w:type="dxa"/>
        </w:tblCellMar>
        <w:tblLook w:val="04A0" w:firstRow="1" w:lastRow="0" w:firstColumn="1" w:lastColumn="0" w:noHBand="0" w:noVBand="1"/>
      </w:tblPr>
      <w:tblGrid>
        <w:gridCol w:w="8980"/>
      </w:tblGrid>
      <w:tr w:rsidR="000A4E90" w14:paraId="5633F4A9" w14:textId="77777777" w:rsidTr="00B65B53">
        <w:tc>
          <w:tcPr>
            <w:tcW w:w="9016" w:type="dxa"/>
            <w:shd w:val="clear" w:color="auto" w:fill="213548"/>
            <w:vAlign w:val="center"/>
          </w:tcPr>
          <w:p w14:paraId="7371220B" w14:textId="096B43C2" w:rsidR="000A4E90" w:rsidRPr="000A4E90" w:rsidRDefault="000A4E90" w:rsidP="000A4E90">
            <w:pPr>
              <w:spacing w:line="276" w:lineRule="auto"/>
              <w:rPr>
                <w:rFonts w:ascii="Atkinson Hyperlegible" w:hAnsi="Atkinson Hyperlegible"/>
                <w:b/>
                <w:bCs/>
                <w:color w:val="213548"/>
                <w:sz w:val="28"/>
                <w:szCs w:val="28"/>
              </w:rPr>
            </w:pPr>
            <w:r w:rsidRPr="000A4E90">
              <w:rPr>
                <w:rFonts w:ascii="Atkinson Hyperlegible" w:hAnsi="Atkinson Hyperlegible"/>
                <w:b/>
                <w:bCs/>
                <w:color w:val="FFFFFF" w:themeColor="background1"/>
                <w:sz w:val="28"/>
                <w:szCs w:val="28"/>
              </w:rPr>
              <w:t>Tiesioginė diskriminacija</w:t>
            </w:r>
          </w:p>
        </w:tc>
      </w:tr>
      <w:tr w:rsidR="000A4E90" w14:paraId="378288A0" w14:textId="77777777" w:rsidTr="00B65B53">
        <w:tc>
          <w:tcPr>
            <w:tcW w:w="9016" w:type="dxa"/>
            <w:shd w:val="clear" w:color="auto" w:fill="FFFFFF" w:themeFill="background1"/>
            <w:vAlign w:val="center"/>
          </w:tcPr>
          <w:p w14:paraId="11E9BB73" w14:textId="77777777" w:rsidR="000A4E90" w:rsidRDefault="000A4E90" w:rsidP="000A4E90">
            <w:pPr>
              <w:spacing w:line="276" w:lineRule="auto"/>
              <w:rPr>
                <w:rFonts w:ascii="Atkinson Hyperlegible" w:hAnsi="Atkinson Hyperlegible"/>
                <w:color w:val="213548"/>
                <w:sz w:val="24"/>
                <w:szCs w:val="24"/>
              </w:rPr>
            </w:pPr>
            <w:r w:rsidRPr="000A4E90">
              <w:rPr>
                <w:rFonts w:ascii="Atkinson Hyperlegible" w:hAnsi="Atkinson Hyperlegible"/>
                <w:color w:val="213548"/>
                <w:sz w:val="24"/>
                <w:szCs w:val="24"/>
              </w:rPr>
              <w:t>Tai situacija, kai asmuo dėl savo tapatybės bruožų patiria prastesnį (mažiau palankų) elgesį nei kitas panašioje situacijoje esantis asmuo.</w:t>
            </w:r>
          </w:p>
          <w:p w14:paraId="223DCA31" w14:textId="2E7321F0" w:rsidR="000A4E90" w:rsidRDefault="000A4E90" w:rsidP="005665C8">
            <w:pPr>
              <w:spacing w:before="240" w:line="276" w:lineRule="auto"/>
              <w:rPr>
                <w:rFonts w:ascii="Atkinson Hyperlegible" w:hAnsi="Atkinson Hyperlegible"/>
                <w:color w:val="213548"/>
                <w:sz w:val="24"/>
                <w:szCs w:val="24"/>
              </w:rPr>
            </w:pPr>
            <w:r w:rsidRPr="000A4E90">
              <w:rPr>
                <w:rFonts w:ascii="Atkinson Hyperlegible" w:hAnsi="Atkinson Hyperlegible"/>
                <w:b/>
                <w:bCs/>
                <w:color w:val="213548"/>
                <w:sz w:val="24"/>
                <w:szCs w:val="24"/>
              </w:rPr>
              <w:t>Pavyzdys:</w:t>
            </w:r>
            <w:r w:rsidRPr="000A4E90">
              <w:rPr>
                <w:rFonts w:ascii="Atkinson Hyperlegible" w:hAnsi="Atkinson Hyperlegible"/>
                <w:color w:val="213548"/>
                <w:sz w:val="24"/>
                <w:szCs w:val="24"/>
              </w:rPr>
              <w:t xml:space="preserve"> Darbdavys atsisako samdyti žmogų iš Indijos vien dėl jo kilmės.</w:t>
            </w:r>
          </w:p>
        </w:tc>
      </w:tr>
    </w:tbl>
    <w:p w14:paraId="524A0917" w14:textId="77777777" w:rsidR="00D52455" w:rsidRDefault="00D52455" w:rsidP="000A4E90">
      <w:pPr>
        <w:spacing w:line="276" w:lineRule="auto"/>
        <w:rPr>
          <w:rFonts w:ascii="Atkinson Hyperlegible" w:hAnsi="Atkinson Hyperlegible"/>
          <w:color w:val="213548"/>
          <w:sz w:val="24"/>
          <w:szCs w:val="24"/>
        </w:rPr>
      </w:pPr>
    </w:p>
    <w:tbl>
      <w:tblPr>
        <w:tblStyle w:val="Lentelstinklelis"/>
        <w:tblW w:w="0" w:type="auto"/>
        <w:tblBorders>
          <w:top w:val="single" w:sz="18" w:space="0" w:color="213547"/>
          <w:left w:val="single" w:sz="18" w:space="0" w:color="213547"/>
          <w:bottom w:val="single" w:sz="18" w:space="0" w:color="213547"/>
          <w:right w:val="single" w:sz="18" w:space="0" w:color="213547"/>
          <w:insideH w:val="none" w:sz="0" w:space="0" w:color="auto"/>
          <w:insideV w:val="none" w:sz="0" w:space="0" w:color="auto"/>
        </w:tblBorders>
        <w:tblCellMar>
          <w:top w:w="170" w:type="dxa"/>
          <w:left w:w="284" w:type="dxa"/>
          <w:bottom w:w="170" w:type="dxa"/>
          <w:right w:w="284" w:type="dxa"/>
        </w:tblCellMar>
        <w:tblLook w:val="04A0" w:firstRow="1" w:lastRow="0" w:firstColumn="1" w:lastColumn="0" w:noHBand="0" w:noVBand="1"/>
      </w:tblPr>
      <w:tblGrid>
        <w:gridCol w:w="8980"/>
      </w:tblGrid>
      <w:tr w:rsidR="000A4E90" w14:paraId="079C5225" w14:textId="77777777" w:rsidTr="00B65B53">
        <w:tc>
          <w:tcPr>
            <w:tcW w:w="9016" w:type="dxa"/>
            <w:shd w:val="clear" w:color="auto" w:fill="213548"/>
            <w:vAlign w:val="center"/>
          </w:tcPr>
          <w:p w14:paraId="7B3DA97E" w14:textId="70AF97C1" w:rsidR="000A4E90" w:rsidRPr="000A4E90" w:rsidRDefault="000A4E90" w:rsidP="00613228">
            <w:pPr>
              <w:spacing w:line="276" w:lineRule="auto"/>
              <w:rPr>
                <w:rFonts w:ascii="Atkinson Hyperlegible" w:hAnsi="Atkinson Hyperlegible"/>
                <w:b/>
                <w:bCs/>
                <w:color w:val="213548"/>
                <w:sz w:val="28"/>
                <w:szCs w:val="28"/>
              </w:rPr>
            </w:pPr>
            <w:r w:rsidRPr="000A4E90">
              <w:rPr>
                <w:rFonts w:ascii="Atkinson Hyperlegible" w:hAnsi="Atkinson Hyperlegible"/>
                <w:b/>
                <w:bCs/>
                <w:color w:val="FFFFFF" w:themeColor="background1"/>
                <w:sz w:val="28"/>
                <w:szCs w:val="28"/>
              </w:rPr>
              <w:t>Netiesioginė diskriminacija </w:t>
            </w:r>
          </w:p>
        </w:tc>
      </w:tr>
      <w:tr w:rsidR="000A4E90" w14:paraId="37269CB2" w14:textId="77777777" w:rsidTr="00B65B53">
        <w:tc>
          <w:tcPr>
            <w:tcW w:w="9016" w:type="dxa"/>
            <w:shd w:val="clear" w:color="auto" w:fill="FFFFFF" w:themeFill="background1"/>
            <w:vAlign w:val="center"/>
          </w:tcPr>
          <w:p w14:paraId="6D2E2A42" w14:textId="77777777" w:rsidR="000A4E90" w:rsidRPr="000A4E90" w:rsidRDefault="000A4E90" w:rsidP="000A4E90">
            <w:pPr>
              <w:spacing w:line="276" w:lineRule="auto"/>
              <w:rPr>
                <w:rFonts w:ascii="Atkinson Hyperlegible" w:hAnsi="Atkinson Hyperlegible"/>
                <w:color w:val="213548"/>
                <w:sz w:val="24"/>
                <w:szCs w:val="24"/>
              </w:rPr>
            </w:pPr>
            <w:r w:rsidRPr="000A4E90">
              <w:rPr>
                <w:rFonts w:ascii="Atkinson Hyperlegible" w:hAnsi="Atkinson Hyperlegible"/>
                <w:color w:val="213548"/>
                <w:sz w:val="24"/>
                <w:szCs w:val="24"/>
              </w:rPr>
              <w:t xml:space="preserve">Tai situacija, kai iš pažiūros neutralios taisyklės, kriterijai ar praktika nepalankiai veikia tam tikras asmenų grupes. </w:t>
            </w:r>
          </w:p>
          <w:p w14:paraId="35707ADF" w14:textId="794A4963" w:rsidR="000A4E90" w:rsidRDefault="000A4E90" w:rsidP="005665C8">
            <w:pPr>
              <w:spacing w:before="240" w:line="276" w:lineRule="auto"/>
              <w:rPr>
                <w:rFonts w:ascii="Atkinson Hyperlegible" w:hAnsi="Atkinson Hyperlegible"/>
                <w:color w:val="213548"/>
                <w:sz w:val="24"/>
                <w:szCs w:val="24"/>
              </w:rPr>
            </w:pPr>
            <w:r w:rsidRPr="000A4E90">
              <w:rPr>
                <w:rFonts w:ascii="Atkinson Hyperlegible" w:hAnsi="Atkinson Hyperlegible"/>
                <w:b/>
                <w:bCs/>
                <w:color w:val="213548"/>
                <w:sz w:val="24"/>
                <w:szCs w:val="24"/>
              </w:rPr>
              <w:t>Pavyzdys:</w:t>
            </w:r>
            <w:r w:rsidRPr="000A4E90">
              <w:rPr>
                <w:rFonts w:ascii="Atkinson Hyperlegible" w:hAnsi="Atkinson Hyperlegible"/>
                <w:color w:val="213548"/>
                <w:sz w:val="24"/>
                <w:szCs w:val="24"/>
              </w:rPr>
              <w:t xml:space="preserve"> Darbdavys darbo apmokėjimo tvarkoje nustato susituokusiems darbuotojams garantiją, pagal kurią darbuotojui (-ai) ir jo (jos) sutuoktiniui (-ei) išmokama 300 eurų dydžio poilsinės kelionės išlaidų kompensacija, tačiau asmenys, dėl objektyvių priežasčių negalintys susituokti Lietuvoje, negali pasinaudoti šia išmoka, pvz., homoseksualios poros. </w:t>
            </w:r>
          </w:p>
        </w:tc>
      </w:tr>
    </w:tbl>
    <w:p w14:paraId="58F5E2D1" w14:textId="77777777" w:rsidR="00D52455" w:rsidRDefault="00D52455" w:rsidP="000A4E90">
      <w:pPr>
        <w:spacing w:line="276" w:lineRule="auto"/>
        <w:rPr>
          <w:rFonts w:ascii="Atkinson Hyperlegible" w:hAnsi="Atkinson Hyperlegible"/>
          <w:color w:val="213548"/>
          <w:sz w:val="24"/>
          <w:szCs w:val="24"/>
        </w:rPr>
      </w:pPr>
    </w:p>
    <w:tbl>
      <w:tblPr>
        <w:tblStyle w:val="Lentelstinklelis"/>
        <w:tblW w:w="0" w:type="auto"/>
        <w:tblBorders>
          <w:top w:val="single" w:sz="18" w:space="0" w:color="213547"/>
          <w:left w:val="single" w:sz="18" w:space="0" w:color="213547"/>
          <w:bottom w:val="single" w:sz="18" w:space="0" w:color="213547"/>
          <w:right w:val="single" w:sz="18" w:space="0" w:color="213547"/>
          <w:insideH w:val="none" w:sz="0" w:space="0" w:color="auto"/>
          <w:insideV w:val="none" w:sz="0" w:space="0" w:color="auto"/>
        </w:tblBorders>
        <w:tblCellMar>
          <w:top w:w="170" w:type="dxa"/>
          <w:left w:w="284" w:type="dxa"/>
          <w:bottom w:w="170" w:type="dxa"/>
          <w:right w:w="284" w:type="dxa"/>
        </w:tblCellMar>
        <w:tblLook w:val="04A0" w:firstRow="1" w:lastRow="0" w:firstColumn="1" w:lastColumn="0" w:noHBand="0" w:noVBand="1"/>
      </w:tblPr>
      <w:tblGrid>
        <w:gridCol w:w="8980"/>
      </w:tblGrid>
      <w:tr w:rsidR="005665C8" w14:paraId="777DC0ED" w14:textId="77777777" w:rsidTr="00B65B53">
        <w:tc>
          <w:tcPr>
            <w:tcW w:w="9016" w:type="dxa"/>
            <w:shd w:val="clear" w:color="auto" w:fill="213548"/>
            <w:vAlign w:val="center"/>
          </w:tcPr>
          <w:p w14:paraId="3C53D777" w14:textId="28F3FD3F" w:rsidR="005665C8" w:rsidRPr="005665C8" w:rsidRDefault="005665C8" w:rsidP="00613228">
            <w:pPr>
              <w:spacing w:line="276" w:lineRule="auto"/>
              <w:rPr>
                <w:rFonts w:ascii="Atkinson Hyperlegible" w:hAnsi="Atkinson Hyperlegible"/>
                <w:b/>
                <w:bCs/>
                <w:color w:val="213548"/>
                <w:sz w:val="28"/>
                <w:szCs w:val="28"/>
              </w:rPr>
            </w:pPr>
            <w:r w:rsidRPr="005665C8">
              <w:rPr>
                <w:rFonts w:ascii="Atkinson Hyperlegible" w:hAnsi="Atkinson Hyperlegible"/>
                <w:b/>
                <w:bCs/>
                <w:color w:val="FFFFFF" w:themeColor="background1"/>
                <w:sz w:val="28"/>
                <w:szCs w:val="28"/>
              </w:rPr>
              <w:t>Nurodymas diskriminuoti</w:t>
            </w:r>
          </w:p>
        </w:tc>
      </w:tr>
      <w:tr w:rsidR="005665C8" w14:paraId="43F80537" w14:textId="77777777" w:rsidTr="00B65B53">
        <w:tc>
          <w:tcPr>
            <w:tcW w:w="9016" w:type="dxa"/>
            <w:shd w:val="clear" w:color="auto" w:fill="FFFFFF" w:themeFill="background1"/>
            <w:vAlign w:val="center"/>
          </w:tcPr>
          <w:p w14:paraId="50B9DCEF" w14:textId="77777777" w:rsidR="005665C8" w:rsidRPr="000A4E90" w:rsidRDefault="005665C8" w:rsidP="005665C8">
            <w:pPr>
              <w:spacing w:line="276" w:lineRule="auto"/>
              <w:rPr>
                <w:rFonts w:ascii="Atkinson Hyperlegible" w:hAnsi="Atkinson Hyperlegible"/>
                <w:color w:val="213548"/>
                <w:sz w:val="24"/>
                <w:szCs w:val="24"/>
              </w:rPr>
            </w:pPr>
            <w:r w:rsidRPr="000A4E90">
              <w:rPr>
                <w:rFonts w:ascii="Atkinson Hyperlegible" w:hAnsi="Atkinson Hyperlegible"/>
                <w:color w:val="213548"/>
                <w:sz w:val="24"/>
                <w:szCs w:val="24"/>
              </w:rPr>
              <w:t xml:space="preserve">Tai situacija, kai vienas asmuo įsako kitam asmeniui diskriminuoti. </w:t>
            </w:r>
          </w:p>
          <w:p w14:paraId="15A70859" w14:textId="72F982F6" w:rsidR="005665C8" w:rsidRDefault="005665C8" w:rsidP="005665C8">
            <w:pPr>
              <w:spacing w:before="240" w:line="276" w:lineRule="auto"/>
              <w:rPr>
                <w:rFonts w:ascii="Atkinson Hyperlegible" w:hAnsi="Atkinson Hyperlegible"/>
                <w:color w:val="213548"/>
                <w:sz w:val="24"/>
                <w:szCs w:val="24"/>
              </w:rPr>
            </w:pPr>
            <w:r w:rsidRPr="000A4E90">
              <w:rPr>
                <w:rFonts w:ascii="Atkinson Hyperlegible" w:hAnsi="Atkinson Hyperlegible"/>
                <w:b/>
                <w:bCs/>
                <w:color w:val="213548"/>
                <w:sz w:val="24"/>
                <w:szCs w:val="24"/>
              </w:rPr>
              <w:t>Pavyzdys:</w:t>
            </w:r>
            <w:r w:rsidRPr="000A4E90">
              <w:rPr>
                <w:rFonts w:ascii="Atkinson Hyperlegible" w:hAnsi="Atkinson Hyperlegible"/>
                <w:color w:val="213548"/>
                <w:sz w:val="24"/>
                <w:szCs w:val="24"/>
              </w:rPr>
              <w:t xml:space="preserve"> Vadovas liepia darbuotojui nesamdyti tam tikro amžiaus žmonių, pvz., vyresnių nei 50 metų. </w:t>
            </w:r>
          </w:p>
        </w:tc>
      </w:tr>
    </w:tbl>
    <w:p w14:paraId="0ECE8719" w14:textId="331A1FB6" w:rsidR="00AB792F" w:rsidRDefault="00AB792F" w:rsidP="000A4E90">
      <w:pPr>
        <w:spacing w:line="276" w:lineRule="auto"/>
        <w:rPr>
          <w:rFonts w:ascii="Atkinson Hyperlegible" w:hAnsi="Atkinson Hyperlegible"/>
          <w:color w:val="213548"/>
          <w:sz w:val="24"/>
          <w:szCs w:val="24"/>
        </w:rPr>
      </w:pPr>
    </w:p>
    <w:p w14:paraId="0C3F61D6" w14:textId="77777777" w:rsidR="00AB792F" w:rsidRDefault="00AB792F">
      <w:pPr>
        <w:rPr>
          <w:rFonts w:ascii="Atkinson Hyperlegible" w:hAnsi="Atkinson Hyperlegible"/>
          <w:color w:val="213548"/>
          <w:sz w:val="24"/>
          <w:szCs w:val="24"/>
        </w:rPr>
      </w:pPr>
      <w:r>
        <w:rPr>
          <w:rFonts w:ascii="Atkinson Hyperlegible" w:hAnsi="Atkinson Hyperlegible"/>
          <w:color w:val="213548"/>
          <w:sz w:val="24"/>
          <w:szCs w:val="24"/>
        </w:rPr>
        <w:br w:type="page"/>
      </w:r>
    </w:p>
    <w:p w14:paraId="196AD92C" w14:textId="77777777" w:rsidR="00D52455" w:rsidRDefault="00D52455" w:rsidP="000A4E90">
      <w:pPr>
        <w:spacing w:line="276" w:lineRule="auto"/>
        <w:rPr>
          <w:rFonts w:ascii="Atkinson Hyperlegible" w:hAnsi="Atkinson Hyperlegible"/>
          <w:color w:val="213548"/>
          <w:sz w:val="24"/>
          <w:szCs w:val="24"/>
        </w:rPr>
      </w:pPr>
    </w:p>
    <w:tbl>
      <w:tblPr>
        <w:tblStyle w:val="Lentelstinklelis"/>
        <w:tblW w:w="0" w:type="auto"/>
        <w:tblBorders>
          <w:top w:val="single" w:sz="18" w:space="0" w:color="213547"/>
          <w:left w:val="single" w:sz="18" w:space="0" w:color="213547"/>
          <w:bottom w:val="single" w:sz="18" w:space="0" w:color="213547"/>
          <w:right w:val="single" w:sz="18" w:space="0" w:color="213547"/>
          <w:insideH w:val="none" w:sz="0" w:space="0" w:color="auto"/>
          <w:insideV w:val="none" w:sz="0" w:space="0" w:color="auto"/>
        </w:tblBorders>
        <w:tblCellMar>
          <w:top w:w="170" w:type="dxa"/>
          <w:left w:w="284" w:type="dxa"/>
          <w:bottom w:w="170" w:type="dxa"/>
          <w:right w:w="284" w:type="dxa"/>
        </w:tblCellMar>
        <w:tblLook w:val="04A0" w:firstRow="1" w:lastRow="0" w:firstColumn="1" w:lastColumn="0" w:noHBand="0" w:noVBand="1"/>
      </w:tblPr>
      <w:tblGrid>
        <w:gridCol w:w="8980"/>
      </w:tblGrid>
      <w:tr w:rsidR="005665C8" w14:paraId="49EDC874" w14:textId="77777777" w:rsidTr="00B65B53">
        <w:tc>
          <w:tcPr>
            <w:tcW w:w="8980" w:type="dxa"/>
            <w:shd w:val="clear" w:color="auto" w:fill="213548"/>
            <w:vAlign w:val="center"/>
          </w:tcPr>
          <w:p w14:paraId="4204B703" w14:textId="3938C579" w:rsidR="005665C8" w:rsidRPr="005665C8" w:rsidRDefault="005665C8" w:rsidP="00613228">
            <w:pPr>
              <w:spacing w:line="276" w:lineRule="auto"/>
              <w:rPr>
                <w:rFonts w:ascii="Atkinson Hyperlegible" w:hAnsi="Atkinson Hyperlegible"/>
                <w:b/>
                <w:bCs/>
                <w:color w:val="213548"/>
                <w:sz w:val="28"/>
                <w:szCs w:val="28"/>
              </w:rPr>
            </w:pPr>
            <w:proofErr w:type="spellStart"/>
            <w:r w:rsidRPr="005665C8">
              <w:rPr>
                <w:rFonts w:ascii="Atkinson Hyperlegible" w:hAnsi="Atkinson Hyperlegible"/>
                <w:b/>
                <w:bCs/>
                <w:color w:val="FFFFFF" w:themeColor="background1"/>
                <w:sz w:val="28"/>
                <w:szCs w:val="28"/>
              </w:rPr>
              <w:t>Sąveikinė</w:t>
            </w:r>
            <w:proofErr w:type="spellEnd"/>
            <w:r w:rsidRPr="005665C8">
              <w:rPr>
                <w:rFonts w:ascii="Atkinson Hyperlegible" w:hAnsi="Atkinson Hyperlegible"/>
                <w:b/>
                <w:bCs/>
                <w:color w:val="FFFFFF" w:themeColor="background1"/>
                <w:sz w:val="28"/>
                <w:szCs w:val="28"/>
              </w:rPr>
              <w:t xml:space="preserve"> diskriminacija </w:t>
            </w:r>
          </w:p>
        </w:tc>
      </w:tr>
      <w:tr w:rsidR="005665C8" w14:paraId="144444AC" w14:textId="77777777" w:rsidTr="00B65B53">
        <w:tc>
          <w:tcPr>
            <w:tcW w:w="8980" w:type="dxa"/>
            <w:shd w:val="clear" w:color="auto" w:fill="FFFFFF" w:themeFill="background1"/>
            <w:vAlign w:val="center"/>
          </w:tcPr>
          <w:p w14:paraId="1BCC4AD0" w14:textId="76731506" w:rsidR="005665C8" w:rsidRPr="000A4E90" w:rsidRDefault="00581DA2" w:rsidP="005665C8">
            <w:pPr>
              <w:spacing w:line="276" w:lineRule="auto"/>
              <w:rPr>
                <w:rFonts w:ascii="Atkinson Hyperlegible" w:hAnsi="Atkinson Hyperlegible"/>
                <w:color w:val="213548"/>
                <w:sz w:val="24"/>
                <w:szCs w:val="24"/>
              </w:rPr>
            </w:pPr>
            <w:r w:rsidRPr="00581DA2">
              <w:rPr>
                <w:rFonts w:ascii="Atkinson Hyperlegible" w:hAnsi="Atkinson Hyperlegible"/>
                <w:color w:val="213548"/>
                <w:sz w:val="24"/>
                <w:szCs w:val="24"/>
              </w:rPr>
              <w:t>Diskriminacija dėl kelių asmens tapatybės bruožų vienu metu. Toks bruožų derinys sukuria unikalią ir dar sunkesnę diskriminacijos formą</w:t>
            </w:r>
            <w:r w:rsidR="005665C8" w:rsidRPr="000A4E90">
              <w:rPr>
                <w:rFonts w:ascii="Atkinson Hyperlegible" w:hAnsi="Atkinson Hyperlegible"/>
                <w:color w:val="213548"/>
                <w:sz w:val="24"/>
                <w:szCs w:val="24"/>
              </w:rPr>
              <w:t>.</w:t>
            </w:r>
          </w:p>
          <w:p w14:paraId="42A021FA" w14:textId="58B05359" w:rsidR="005665C8" w:rsidRDefault="005665C8" w:rsidP="00613228">
            <w:pPr>
              <w:spacing w:before="240" w:line="276" w:lineRule="auto"/>
              <w:rPr>
                <w:rFonts w:ascii="Atkinson Hyperlegible" w:hAnsi="Atkinson Hyperlegible"/>
                <w:color w:val="213548"/>
                <w:sz w:val="24"/>
                <w:szCs w:val="24"/>
              </w:rPr>
            </w:pPr>
            <w:r w:rsidRPr="000A4E90">
              <w:rPr>
                <w:rFonts w:ascii="Atkinson Hyperlegible" w:hAnsi="Atkinson Hyperlegible"/>
                <w:b/>
                <w:bCs/>
                <w:color w:val="213548"/>
                <w:sz w:val="24"/>
                <w:szCs w:val="24"/>
              </w:rPr>
              <w:t>Pavyzdys:</w:t>
            </w:r>
            <w:r w:rsidRPr="000A4E90">
              <w:rPr>
                <w:rFonts w:ascii="Atkinson Hyperlegible" w:hAnsi="Atkinson Hyperlegible"/>
                <w:color w:val="213548"/>
                <w:sz w:val="24"/>
                <w:szCs w:val="24"/>
              </w:rPr>
              <w:t xml:space="preserve"> Pensinio amžiaus moterims sunkiau gauti paskolą tiek dėl amžiaus, tiek dėl lyties. </w:t>
            </w:r>
          </w:p>
        </w:tc>
      </w:tr>
    </w:tbl>
    <w:tbl>
      <w:tblPr>
        <w:tblStyle w:val="Lentelstinklelis"/>
        <w:tblpPr w:leftFromText="180" w:rightFromText="180" w:vertAnchor="text" w:horzAnchor="margin" w:tblpY="318"/>
        <w:tblW w:w="0" w:type="auto"/>
        <w:tblBorders>
          <w:top w:val="single" w:sz="18" w:space="0" w:color="213547"/>
          <w:left w:val="single" w:sz="18" w:space="0" w:color="213547"/>
          <w:bottom w:val="single" w:sz="18" w:space="0" w:color="213547"/>
          <w:right w:val="single" w:sz="18" w:space="0" w:color="213547"/>
          <w:insideH w:val="none" w:sz="0" w:space="0" w:color="auto"/>
          <w:insideV w:val="none" w:sz="0" w:space="0" w:color="auto"/>
        </w:tblBorders>
        <w:tblCellMar>
          <w:top w:w="170" w:type="dxa"/>
          <w:left w:w="284" w:type="dxa"/>
          <w:bottom w:w="170" w:type="dxa"/>
          <w:right w:w="284" w:type="dxa"/>
        </w:tblCellMar>
        <w:tblLook w:val="04A0" w:firstRow="1" w:lastRow="0" w:firstColumn="1" w:lastColumn="0" w:noHBand="0" w:noVBand="1"/>
      </w:tblPr>
      <w:tblGrid>
        <w:gridCol w:w="8980"/>
      </w:tblGrid>
      <w:tr w:rsidR="00B65B53" w14:paraId="1B675C80" w14:textId="77777777" w:rsidTr="00B65B53">
        <w:tc>
          <w:tcPr>
            <w:tcW w:w="9016" w:type="dxa"/>
            <w:shd w:val="clear" w:color="auto" w:fill="213548"/>
            <w:vAlign w:val="center"/>
          </w:tcPr>
          <w:p w14:paraId="14444DBF" w14:textId="77777777" w:rsidR="00B65B53" w:rsidRPr="005665C8" w:rsidRDefault="00B65B53" w:rsidP="00B65B53">
            <w:pPr>
              <w:spacing w:line="276" w:lineRule="auto"/>
              <w:rPr>
                <w:rFonts w:ascii="Atkinson Hyperlegible" w:hAnsi="Atkinson Hyperlegible"/>
                <w:b/>
                <w:bCs/>
                <w:color w:val="213548"/>
                <w:sz w:val="28"/>
                <w:szCs w:val="28"/>
              </w:rPr>
            </w:pPr>
            <w:r>
              <w:rPr>
                <w:rFonts w:ascii="Atkinson Hyperlegible" w:hAnsi="Atkinson Hyperlegible"/>
                <w:b/>
                <w:bCs/>
                <w:color w:val="FFFFFF" w:themeColor="background1"/>
                <w:sz w:val="28"/>
                <w:szCs w:val="28"/>
              </w:rPr>
              <w:t>Priekabiavimas</w:t>
            </w:r>
            <w:r w:rsidRPr="005665C8">
              <w:rPr>
                <w:rFonts w:ascii="Atkinson Hyperlegible" w:hAnsi="Atkinson Hyperlegible"/>
                <w:b/>
                <w:bCs/>
                <w:color w:val="FFFFFF" w:themeColor="background1"/>
                <w:sz w:val="28"/>
                <w:szCs w:val="28"/>
              </w:rPr>
              <w:t xml:space="preserve"> </w:t>
            </w:r>
          </w:p>
        </w:tc>
      </w:tr>
      <w:tr w:rsidR="00B65B53" w14:paraId="51CAEBEE" w14:textId="77777777" w:rsidTr="00B65B53">
        <w:tc>
          <w:tcPr>
            <w:tcW w:w="9016" w:type="dxa"/>
            <w:shd w:val="clear" w:color="auto" w:fill="FFFFFF" w:themeFill="background1"/>
            <w:vAlign w:val="center"/>
          </w:tcPr>
          <w:p w14:paraId="6754523F" w14:textId="77777777" w:rsidR="00B65B53" w:rsidRPr="000A4E90" w:rsidRDefault="00B65B53" w:rsidP="00B65B53">
            <w:pPr>
              <w:spacing w:line="276" w:lineRule="auto"/>
              <w:rPr>
                <w:rFonts w:ascii="Atkinson Hyperlegible" w:hAnsi="Atkinson Hyperlegible"/>
                <w:color w:val="213548"/>
                <w:sz w:val="24"/>
                <w:szCs w:val="24"/>
              </w:rPr>
            </w:pPr>
            <w:r w:rsidRPr="000A4E90">
              <w:rPr>
                <w:rFonts w:ascii="Atkinson Hyperlegible" w:hAnsi="Atkinson Hyperlegible"/>
                <w:color w:val="213548"/>
                <w:sz w:val="24"/>
                <w:szCs w:val="24"/>
              </w:rPr>
              <w:t xml:space="preserve">Tai žeminantis, įžeidžiantis, bauginantis elgesys, susijęs su asmens tapatybe. </w:t>
            </w:r>
          </w:p>
          <w:p w14:paraId="28E41A1F" w14:textId="77777777" w:rsidR="00B65B53" w:rsidRDefault="00B65B53" w:rsidP="00B65B53">
            <w:pPr>
              <w:spacing w:before="240" w:line="276" w:lineRule="auto"/>
              <w:rPr>
                <w:rFonts w:ascii="Atkinson Hyperlegible" w:hAnsi="Atkinson Hyperlegible"/>
                <w:color w:val="213548"/>
                <w:sz w:val="24"/>
                <w:szCs w:val="24"/>
              </w:rPr>
            </w:pPr>
            <w:r w:rsidRPr="000A4E90">
              <w:rPr>
                <w:rFonts w:ascii="Atkinson Hyperlegible" w:hAnsi="Atkinson Hyperlegible"/>
                <w:b/>
                <w:bCs/>
                <w:color w:val="213548"/>
                <w:sz w:val="24"/>
                <w:szCs w:val="24"/>
              </w:rPr>
              <w:t>Pavyzdys:</w:t>
            </w:r>
            <w:r w:rsidRPr="000A4E90">
              <w:rPr>
                <w:rFonts w:ascii="Atkinson Hyperlegible" w:hAnsi="Atkinson Hyperlegible"/>
                <w:color w:val="213548"/>
                <w:sz w:val="24"/>
                <w:szCs w:val="24"/>
              </w:rPr>
              <w:t xml:space="preserve"> Pavienės ar pastovios kolegų patyčios dėl darbuotojo kalbos akcento, amžiaus, negalios ir pan. </w:t>
            </w:r>
          </w:p>
        </w:tc>
      </w:tr>
    </w:tbl>
    <w:p w14:paraId="085CA31F" w14:textId="444F5CE8" w:rsidR="00B65B53" w:rsidRDefault="00B65B53" w:rsidP="29D386FC">
      <w:pPr>
        <w:spacing w:line="276" w:lineRule="auto"/>
        <w:rPr>
          <w:rFonts w:ascii="Atkinson Hyperlegible" w:hAnsi="Atkinson Hyperlegible"/>
          <w:color w:val="213548"/>
          <w:sz w:val="24"/>
          <w:szCs w:val="24"/>
        </w:rPr>
      </w:pPr>
    </w:p>
    <w:p w14:paraId="663B1457" w14:textId="77777777" w:rsidR="00AB792F" w:rsidRPr="000A4E90" w:rsidRDefault="00AB792F" w:rsidP="29D386FC">
      <w:pPr>
        <w:spacing w:line="276" w:lineRule="auto"/>
        <w:rPr>
          <w:rFonts w:ascii="Atkinson Hyperlegible" w:hAnsi="Atkinson Hyperlegible"/>
          <w:color w:val="213548"/>
          <w:sz w:val="24"/>
          <w:szCs w:val="24"/>
        </w:rPr>
      </w:pPr>
    </w:p>
    <w:tbl>
      <w:tblPr>
        <w:tblStyle w:val="Lentelstinklelis"/>
        <w:tblW w:w="0" w:type="auto"/>
        <w:tblBorders>
          <w:top w:val="single" w:sz="18" w:space="0" w:color="213547"/>
          <w:left w:val="single" w:sz="18" w:space="0" w:color="213547"/>
          <w:bottom w:val="single" w:sz="18" w:space="0" w:color="213547"/>
          <w:right w:val="single" w:sz="18" w:space="0" w:color="213547"/>
          <w:insideH w:val="none" w:sz="0" w:space="0" w:color="auto"/>
          <w:insideV w:val="none" w:sz="0" w:space="0" w:color="auto"/>
        </w:tblBorders>
        <w:tblCellMar>
          <w:top w:w="170" w:type="dxa"/>
          <w:left w:w="284" w:type="dxa"/>
          <w:bottom w:w="170" w:type="dxa"/>
          <w:right w:w="284" w:type="dxa"/>
        </w:tblCellMar>
        <w:tblLook w:val="04A0" w:firstRow="1" w:lastRow="0" w:firstColumn="1" w:lastColumn="0" w:noHBand="0" w:noVBand="1"/>
      </w:tblPr>
      <w:tblGrid>
        <w:gridCol w:w="8980"/>
      </w:tblGrid>
      <w:tr w:rsidR="00B65B53" w14:paraId="2BA544DF" w14:textId="77777777" w:rsidTr="00B65B53">
        <w:tc>
          <w:tcPr>
            <w:tcW w:w="9016" w:type="dxa"/>
            <w:shd w:val="clear" w:color="auto" w:fill="213548"/>
            <w:vAlign w:val="center"/>
          </w:tcPr>
          <w:p w14:paraId="70C0B323" w14:textId="60B34CAC" w:rsidR="00B65B53" w:rsidRPr="005665C8" w:rsidRDefault="00B65B53" w:rsidP="00650880">
            <w:pPr>
              <w:spacing w:line="276" w:lineRule="auto"/>
              <w:rPr>
                <w:rFonts w:ascii="Atkinson Hyperlegible" w:hAnsi="Atkinson Hyperlegible"/>
                <w:b/>
                <w:bCs/>
                <w:color w:val="213548"/>
                <w:sz w:val="28"/>
                <w:szCs w:val="28"/>
              </w:rPr>
            </w:pPr>
            <w:r>
              <w:rPr>
                <w:rFonts w:ascii="Atkinson Hyperlegible" w:hAnsi="Atkinson Hyperlegible"/>
                <w:b/>
                <w:bCs/>
                <w:color w:val="FFFFFF" w:themeColor="background1"/>
                <w:sz w:val="28"/>
                <w:szCs w:val="28"/>
              </w:rPr>
              <w:t>Seksualinis priekabiavimas</w:t>
            </w:r>
            <w:r w:rsidRPr="005665C8">
              <w:rPr>
                <w:rFonts w:ascii="Atkinson Hyperlegible" w:hAnsi="Atkinson Hyperlegible"/>
                <w:b/>
                <w:bCs/>
                <w:color w:val="FFFFFF" w:themeColor="background1"/>
                <w:sz w:val="28"/>
                <w:szCs w:val="28"/>
              </w:rPr>
              <w:t xml:space="preserve"> </w:t>
            </w:r>
          </w:p>
        </w:tc>
      </w:tr>
      <w:tr w:rsidR="00B65B53" w14:paraId="33D2383E" w14:textId="77777777" w:rsidTr="00B65B53">
        <w:tc>
          <w:tcPr>
            <w:tcW w:w="9016" w:type="dxa"/>
            <w:shd w:val="clear" w:color="auto" w:fill="FFFFFF" w:themeFill="background1"/>
            <w:vAlign w:val="center"/>
          </w:tcPr>
          <w:p w14:paraId="4AB40570" w14:textId="77777777" w:rsidR="00B65B53" w:rsidRPr="000A4E90" w:rsidRDefault="00B65B53" w:rsidP="00B65B53">
            <w:pPr>
              <w:spacing w:line="276" w:lineRule="auto"/>
              <w:rPr>
                <w:rFonts w:ascii="Atkinson Hyperlegible" w:hAnsi="Atkinson Hyperlegible"/>
                <w:color w:val="213548"/>
                <w:sz w:val="24"/>
                <w:szCs w:val="24"/>
              </w:rPr>
            </w:pPr>
            <w:r w:rsidRPr="000A4E90">
              <w:rPr>
                <w:rFonts w:ascii="Atkinson Hyperlegible" w:hAnsi="Atkinson Hyperlegible"/>
                <w:color w:val="213548"/>
                <w:sz w:val="24"/>
                <w:szCs w:val="24"/>
              </w:rPr>
              <w:t>Tai nepageidaujamas ir užgaulus seksualinio pobūdžio elgesys, išreikštas žodžiu, raštu ar fiziniu veiksmu prieš asmenį. Tokio elgesio tikslas ar jo poveikis pakenkti asmens orumui, ypač sukuriant bauginančią, priešišką, žeminančią ar įžeidžiančią aplinką.</w:t>
            </w:r>
          </w:p>
          <w:p w14:paraId="58B506C9" w14:textId="2E320A4A" w:rsidR="00B65B53" w:rsidRDefault="00B65B53" w:rsidP="00B65B53">
            <w:pPr>
              <w:spacing w:before="240" w:line="276" w:lineRule="auto"/>
              <w:rPr>
                <w:rFonts w:ascii="Atkinson Hyperlegible" w:hAnsi="Atkinson Hyperlegible"/>
                <w:color w:val="213548"/>
                <w:sz w:val="24"/>
                <w:szCs w:val="24"/>
              </w:rPr>
            </w:pPr>
            <w:r w:rsidRPr="000A4E90">
              <w:rPr>
                <w:rFonts w:ascii="Atkinson Hyperlegible" w:hAnsi="Atkinson Hyperlegible"/>
                <w:b/>
                <w:bCs/>
                <w:color w:val="213548"/>
                <w:sz w:val="24"/>
                <w:szCs w:val="24"/>
              </w:rPr>
              <w:t>Pavyzdys:</w:t>
            </w:r>
            <w:r w:rsidRPr="000A4E90">
              <w:rPr>
                <w:rFonts w:ascii="Atkinson Hyperlegible" w:hAnsi="Atkinson Hyperlegible"/>
                <w:color w:val="213548"/>
                <w:sz w:val="24"/>
                <w:szCs w:val="24"/>
              </w:rPr>
              <w:t xml:space="preserve"> Darbuotoja jaučiasi nejaukiai, nes vadovas nuolat komentuoja jos išvaizdą, siunčia asmeninio pobūdžio žinutes ir kviečia į pasimatymus.</w:t>
            </w:r>
          </w:p>
        </w:tc>
      </w:tr>
    </w:tbl>
    <w:p w14:paraId="7FCA6516" w14:textId="77777777" w:rsidR="00D52455" w:rsidRPr="000A4E90" w:rsidRDefault="00D52455" w:rsidP="000A4E90">
      <w:pPr>
        <w:spacing w:line="276" w:lineRule="auto"/>
        <w:rPr>
          <w:rFonts w:ascii="Atkinson Hyperlegible" w:hAnsi="Atkinson Hyperlegible"/>
          <w:color w:val="213548"/>
        </w:rPr>
      </w:pPr>
    </w:p>
    <w:sectPr w:rsidR="00D52455" w:rsidRPr="000A4E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36DE" w14:textId="77777777" w:rsidR="00190267" w:rsidRDefault="00190267" w:rsidP="000A4E90">
      <w:pPr>
        <w:spacing w:after="0" w:line="240" w:lineRule="auto"/>
      </w:pPr>
      <w:r>
        <w:separator/>
      </w:r>
    </w:p>
  </w:endnote>
  <w:endnote w:type="continuationSeparator" w:id="0">
    <w:p w14:paraId="00A78EAB" w14:textId="77777777" w:rsidR="00190267" w:rsidRDefault="00190267" w:rsidP="000A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tkinson Hyperlegible">
    <w:altName w:val="Calibri"/>
    <w:panose1 w:val="00000000000000000000"/>
    <w:charset w:val="4D"/>
    <w:family w:val="auto"/>
    <w:notTrueType/>
    <w:pitch w:val="variable"/>
    <w:sig w:usb0="00000027" w:usb1="00000000" w:usb2="00000000"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8C9A" w14:textId="77777777" w:rsidR="00190267" w:rsidRDefault="00190267" w:rsidP="000A4E90">
      <w:pPr>
        <w:spacing w:after="0" w:line="240" w:lineRule="auto"/>
      </w:pPr>
      <w:r>
        <w:separator/>
      </w:r>
    </w:p>
  </w:footnote>
  <w:footnote w:type="continuationSeparator" w:id="0">
    <w:p w14:paraId="05BAFD3C" w14:textId="77777777" w:rsidR="00190267" w:rsidRDefault="00190267" w:rsidP="000A4E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0C"/>
    <w:rsid w:val="00066F22"/>
    <w:rsid w:val="0007032E"/>
    <w:rsid w:val="000A4E90"/>
    <w:rsid w:val="0017615C"/>
    <w:rsid w:val="00190267"/>
    <w:rsid w:val="0030346F"/>
    <w:rsid w:val="00426CAD"/>
    <w:rsid w:val="005528CC"/>
    <w:rsid w:val="005665C8"/>
    <w:rsid w:val="00581DA2"/>
    <w:rsid w:val="00591133"/>
    <w:rsid w:val="00680DA8"/>
    <w:rsid w:val="006C0D09"/>
    <w:rsid w:val="00893B32"/>
    <w:rsid w:val="008C570C"/>
    <w:rsid w:val="009A772C"/>
    <w:rsid w:val="009D01FC"/>
    <w:rsid w:val="009D493F"/>
    <w:rsid w:val="00AB792F"/>
    <w:rsid w:val="00B65B53"/>
    <w:rsid w:val="00BE5EA0"/>
    <w:rsid w:val="00D52455"/>
    <w:rsid w:val="00DB1F37"/>
    <w:rsid w:val="00DB6D21"/>
    <w:rsid w:val="00E9235D"/>
    <w:rsid w:val="00E92563"/>
    <w:rsid w:val="00EE52B7"/>
    <w:rsid w:val="00F26D45"/>
    <w:rsid w:val="00FD7CBD"/>
    <w:rsid w:val="29D38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0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8C5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C5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C570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C570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C570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C57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57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57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57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570C"/>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8C570C"/>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8C570C"/>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8C570C"/>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8C570C"/>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8C570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C570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C570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C570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C5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570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C57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570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C57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570C"/>
    <w:rPr>
      <w:i/>
      <w:iCs/>
      <w:color w:val="404040" w:themeColor="text1" w:themeTint="BF"/>
      <w:lang w:val="lt-LT"/>
    </w:rPr>
  </w:style>
  <w:style w:type="paragraph" w:styleId="Sraopastraipa">
    <w:name w:val="List Paragraph"/>
    <w:basedOn w:val="prastasis"/>
    <w:uiPriority w:val="34"/>
    <w:qFormat/>
    <w:rsid w:val="008C570C"/>
    <w:pPr>
      <w:ind w:left="720"/>
      <w:contextualSpacing/>
    </w:pPr>
  </w:style>
  <w:style w:type="character" w:styleId="Rykuspabraukimas">
    <w:name w:val="Intense Emphasis"/>
    <w:basedOn w:val="Numatytasispastraiposriftas"/>
    <w:uiPriority w:val="21"/>
    <w:qFormat/>
    <w:rsid w:val="008C570C"/>
    <w:rPr>
      <w:i/>
      <w:iCs/>
      <w:color w:val="2F5496" w:themeColor="accent1" w:themeShade="BF"/>
    </w:rPr>
  </w:style>
  <w:style w:type="paragraph" w:styleId="Iskirtacitata">
    <w:name w:val="Intense Quote"/>
    <w:basedOn w:val="prastasis"/>
    <w:next w:val="prastasis"/>
    <w:link w:val="IskirtacitataDiagrama"/>
    <w:uiPriority w:val="30"/>
    <w:qFormat/>
    <w:rsid w:val="008C5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C570C"/>
    <w:rPr>
      <w:i/>
      <w:iCs/>
      <w:color w:val="2F5496" w:themeColor="accent1" w:themeShade="BF"/>
      <w:lang w:val="lt-LT"/>
    </w:rPr>
  </w:style>
  <w:style w:type="character" w:styleId="Rykinuoroda">
    <w:name w:val="Intense Reference"/>
    <w:basedOn w:val="Numatytasispastraiposriftas"/>
    <w:uiPriority w:val="32"/>
    <w:qFormat/>
    <w:rsid w:val="008C570C"/>
    <w:rPr>
      <w:b/>
      <w:bCs/>
      <w:smallCaps/>
      <w:color w:val="2F5496" w:themeColor="accent1" w:themeShade="BF"/>
      <w:spacing w:val="5"/>
    </w:rPr>
  </w:style>
  <w:style w:type="table" w:styleId="Lentelstinklelis">
    <w:name w:val="Table Grid"/>
    <w:basedOn w:val="prastojilentel"/>
    <w:uiPriority w:val="39"/>
    <w:rsid w:val="000A4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A4E9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A4E90"/>
    <w:rPr>
      <w:lang w:val="lt-LT"/>
    </w:rPr>
  </w:style>
  <w:style w:type="paragraph" w:styleId="Porat">
    <w:name w:val="footer"/>
    <w:basedOn w:val="prastasis"/>
    <w:link w:val="PoratDiagrama"/>
    <w:uiPriority w:val="99"/>
    <w:unhideWhenUsed/>
    <w:rsid w:val="000A4E9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A4E90"/>
    <w:rPr>
      <w:lang w:val="lt-LT"/>
    </w:rPr>
  </w:style>
  <w:style w:type="paragraph" w:styleId="Pataisymai">
    <w:name w:val="Revision"/>
    <w:hidden/>
    <w:uiPriority w:val="99"/>
    <w:semiHidden/>
    <w:rsid w:val="00B65B53"/>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cd73c2-2557-4476-87c0-e4fe739a3556">
      <Terms xmlns="http://schemas.microsoft.com/office/infopath/2007/PartnerControls"/>
    </lcf76f155ced4ddcb4097134ff3c332f>
    <TaxCatchAll xmlns="03e0a81d-bc3f-40ad-b902-89995290b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AEB7EAA2AAB848AA687823751223BD" ma:contentTypeVersion="15" ma:contentTypeDescription="Create a new document." ma:contentTypeScope="" ma:versionID="cf16ca46fde60c48f81782c8608b4e33">
  <xsd:schema xmlns:xsd="http://www.w3.org/2001/XMLSchema" xmlns:xs="http://www.w3.org/2001/XMLSchema" xmlns:p="http://schemas.microsoft.com/office/2006/metadata/properties" xmlns:ns2="1ecd73c2-2557-4476-87c0-e4fe739a3556" xmlns:ns3="03e0a81d-bc3f-40ad-b902-89995290be3a" targetNamespace="http://schemas.microsoft.com/office/2006/metadata/properties" ma:root="true" ma:fieldsID="948e742650a3f4af72821bb2df4f0c19" ns2:_="" ns3:_="">
    <xsd:import namespace="1ecd73c2-2557-4476-87c0-e4fe739a3556"/>
    <xsd:import namespace="03e0a81d-bc3f-40ad-b902-89995290be3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73c2-2557-4476-87c0-e4fe739a3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d9e956-a09c-4a0a-bf65-eee8c95b11cb"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e0a81d-bc3f-40ad-b902-89995290be3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1acf38-7b50-4baa-baf9-972974991d6c}" ma:internalName="TaxCatchAll" ma:showField="CatchAllData" ma:web="03e0a81d-bc3f-40ad-b902-89995290b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8CD4C-B885-4FF6-9A05-90A22E3B2212}">
  <ds:schemaRefs>
    <ds:schemaRef ds:uri="http://schemas.microsoft.com/office/2006/metadata/properties"/>
    <ds:schemaRef ds:uri="http://schemas.microsoft.com/office/infopath/2007/PartnerControls"/>
    <ds:schemaRef ds:uri="1ecd73c2-2557-4476-87c0-e4fe739a3556"/>
    <ds:schemaRef ds:uri="03e0a81d-bc3f-40ad-b902-89995290be3a"/>
  </ds:schemaRefs>
</ds:datastoreItem>
</file>

<file path=customXml/itemProps2.xml><?xml version="1.0" encoding="utf-8"?>
<ds:datastoreItem xmlns:ds="http://schemas.openxmlformats.org/officeDocument/2006/customXml" ds:itemID="{34CBD6CF-3A85-47BA-90EA-DE987A7A3C99}">
  <ds:schemaRefs>
    <ds:schemaRef ds:uri="http://schemas.microsoft.com/sharepoint/v3/contenttype/forms"/>
  </ds:schemaRefs>
</ds:datastoreItem>
</file>

<file path=customXml/itemProps3.xml><?xml version="1.0" encoding="utf-8"?>
<ds:datastoreItem xmlns:ds="http://schemas.openxmlformats.org/officeDocument/2006/customXml" ds:itemID="{E05F6EB5-466D-4540-90AF-80F0D7414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73c2-2557-4476-87c0-e4fe739a3556"/>
    <ds:schemaRef ds:uri="03e0a81d-bc3f-40ad-b902-89995290b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1225</Words>
  <Characters>699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2026-02-20T08:43:00Z</dcterms:created>
  <dcterms:modified xsi:type="dcterms:W3CDTF">2026-02-20T08:43:00Z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0x01010074AEB7EAA2AAB848AA687823751223BD</vt:lpwstr>
  </property>
</Properties>
</file>