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77777777" w:rsidR="00694944" w:rsidRPr="00C5156F" w:rsidRDefault="00694944" w:rsidP="00694944">
      <w:pPr>
        <w:jc w:val="center"/>
        <w:outlineLvl w:val="0"/>
        <w:rPr>
          <w:b/>
          <w:bCs/>
        </w:rPr>
      </w:pPr>
      <w:r w:rsidRPr="00C5156F">
        <w:rPr>
          <w:b/>
          <w:bCs/>
        </w:rPr>
        <w:t>PATEIKTŲ PASIŪLYMŲ ĮGYVENDINIMAS</w:t>
      </w:r>
      <w:r w:rsidRPr="00C5156F">
        <w:rPr>
          <w:rStyle w:val="Puslapioinaosnuoroda"/>
          <w:b/>
          <w:bCs/>
        </w:rPr>
        <w:footnoteReference w:id="1"/>
      </w: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0" w:type="auto"/>
        <w:tblLook w:val="04A0" w:firstRow="1" w:lastRow="0" w:firstColumn="1" w:lastColumn="0" w:noHBand="0" w:noVBand="1"/>
      </w:tblPr>
      <w:tblGrid>
        <w:gridCol w:w="2814"/>
        <w:gridCol w:w="2416"/>
        <w:gridCol w:w="7750"/>
        <w:gridCol w:w="1296"/>
      </w:tblGrid>
      <w:tr w:rsidR="0037500E" w:rsidRPr="002B3452" w14:paraId="2B949321" w14:textId="77777777" w:rsidTr="00F86BA6">
        <w:tc>
          <w:tcPr>
            <w:tcW w:w="2814"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2416"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7750"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1296"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38784D">
        <w:tc>
          <w:tcPr>
            <w:tcW w:w="14276" w:type="dxa"/>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37500E" w:rsidRPr="002B3452" w14:paraId="578637E3" w14:textId="77777777" w:rsidTr="00F86BA6">
        <w:tc>
          <w:tcPr>
            <w:tcW w:w="2814" w:type="dxa"/>
          </w:tcPr>
          <w:p w14:paraId="6EFB0336" w14:textId="77777777" w:rsidR="0038784D" w:rsidRPr="003C217E" w:rsidRDefault="0038784D" w:rsidP="00DC08DA">
            <w:pPr>
              <w:jc w:val="both"/>
              <w:rPr>
                <w:noProof/>
              </w:rPr>
            </w:pPr>
            <w:r>
              <w:rPr>
                <w:noProof/>
              </w:rPr>
              <w:t>4</w:t>
            </w:r>
            <w:r w:rsidRPr="003C217E">
              <w:rPr>
                <w:noProof/>
              </w:rPr>
              <w:t xml:space="preserve">.1.1.1. </w:t>
            </w:r>
            <w:r w:rsidRPr="00E61D6E">
              <w:rPr>
                <w:bCs/>
                <w:noProof/>
              </w:rPr>
              <w:t>Savivaldybės vidaus teisės aktuose formaliai yra įtvirtintas reikalavimas pareiškėjams pateikti žalą patvirtinančius dokumentus, tačiau faktiškai pateikiama dokumentacija dažnai nėra pakankama objektyviam žalos ar išlaidų įvertinimui, o egzistuojant pareiškėjų nesąžiningumui, gali ir suklaidinti žalą vertinančią savivaldybę. Kai kuriais atvejais, lėšos skiriamos ir pareiškėjui nepateikus visų dokumentų, kurie nurodyti savivaldybės vidaus teisiniame reglamentavime.</w:t>
            </w:r>
            <w:r w:rsidRPr="006A0699">
              <w:rPr>
                <w:bCs/>
                <w:noProof/>
              </w:rPr>
              <w:t xml:space="preserve"> Patirtos žalos vertinimą atlieka tam nekvalifikuoti ar atestuoti specialistai, o savivaldybės </w:t>
            </w:r>
            <w:r w:rsidRPr="006A0699">
              <w:rPr>
                <w:bCs/>
                <w:noProof/>
              </w:rPr>
              <w:lastRenderedPageBreak/>
              <w:t>administracijos darbuotojai, kurie tikėtina neturi tam reikalingų kompetencijų ir/ar įgaliojimų. Šių aplinkybių visuma kelia korupcijos pasireiškimo tikimybę, kadangi kyla abejonių dėl nustatytos ir kompensuotos žalos pagrįstumo ar kitų neteisėtų susitarimų</w:t>
            </w:r>
            <w:r>
              <w:rPr>
                <w:bCs/>
                <w:noProof/>
              </w:rPr>
              <w:t xml:space="preserve"> </w:t>
            </w:r>
            <w:r w:rsidRPr="003C217E">
              <w:rPr>
                <w:noProof/>
              </w:rPr>
              <w:t>(</w:t>
            </w:r>
            <w:r w:rsidRPr="005555ED">
              <w:rPr>
                <w:i/>
                <w:iCs/>
                <w:noProof/>
              </w:rPr>
              <w:t>motyvai nurodyti 3.1. skyriuje</w:t>
            </w:r>
            <w:r w:rsidRPr="003C217E">
              <w:rPr>
                <w:noProof/>
              </w:rPr>
              <w:t>).</w:t>
            </w:r>
          </w:p>
          <w:p w14:paraId="2B047CF1" w14:textId="77777777" w:rsidR="0037500E" w:rsidRPr="002B3452" w:rsidRDefault="0037500E" w:rsidP="00DC08DA">
            <w:pPr>
              <w:widowControl w:val="0"/>
              <w:jc w:val="both"/>
              <w:rPr>
                <w:snapToGrid w:val="0"/>
              </w:rPr>
            </w:pPr>
          </w:p>
        </w:tc>
        <w:tc>
          <w:tcPr>
            <w:tcW w:w="2416" w:type="dxa"/>
          </w:tcPr>
          <w:p w14:paraId="5976C640" w14:textId="77777777" w:rsidR="009B71D0" w:rsidRPr="005434D6" w:rsidRDefault="009B71D0" w:rsidP="00DC08DA">
            <w:pPr>
              <w:jc w:val="both"/>
              <w:rPr>
                <w:noProof/>
              </w:rPr>
            </w:pPr>
            <w:r w:rsidRPr="005434D6">
              <w:rPr>
                <w:noProof/>
              </w:rPr>
              <w:lastRenderedPageBreak/>
              <w:t>5.1.2.1. Praktikoje vadovautis Rezervo aprašo nuostatomis ir reikalauti pareiškėjų pateikti visą reikalingą, žalą patvirtinančią dokumentaciją, nebent egzistuoja objektyvios aplinkybės, dėl kurių pareiškėjas negali to padaryti (dėl 4.1.1.1. pastabos).</w:t>
            </w:r>
          </w:p>
          <w:p w14:paraId="663A01AA" w14:textId="77777777" w:rsidR="0037500E" w:rsidRPr="005434D6" w:rsidRDefault="0037500E" w:rsidP="00DC08DA">
            <w:pPr>
              <w:widowControl w:val="0"/>
              <w:jc w:val="both"/>
              <w:rPr>
                <w:snapToGrid w:val="0"/>
              </w:rPr>
            </w:pPr>
          </w:p>
        </w:tc>
        <w:tc>
          <w:tcPr>
            <w:tcW w:w="7750" w:type="dxa"/>
          </w:tcPr>
          <w:p w14:paraId="721B4890" w14:textId="77777777" w:rsidR="00AA74AB" w:rsidRPr="00AA74AB" w:rsidRDefault="00631BE5" w:rsidP="00AA74AB">
            <w:pPr>
              <w:jc w:val="both"/>
              <w:rPr>
                <w:rFonts w:eastAsiaTheme="minorHAnsi"/>
              </w:rPr>
            </w:pPr>
            <w:r w:rsidRPr="00AA74AB">
              <w:t xml:space="preserve">Atsižvelgiant į Lietuvos Respublikos specialiųjų tyrimų tarnybos 2025 m. vasario 20 d. antikorupcinio vertinimo išvadoje Nr. 4-01-1695 „Dėl Mero rezervo lėšų naudojimo tvarką reglamentuojančių teisės aktų“ pateiktas pastabas ir pasiūlymus, </w:t>
            </w:r>
            <w:r w:rsidR="00AA74AB" w:rsidRPr="00AA74AB">
              <w:t xml:space="preserve">Šiaulių rajono savivaldybės tarybos 2025 m. rugsėjo 9 d. sprendimu Nr. T-205 „Dėl Šiaulių rajono savivaldybės mero rezervo lėšų naudojimo tvarkos aprašo patvirtinimo“ patvirtinta nauja Šiaulių rajono savivaldybės mero rezervo lėšų naudojimo tvarka (toliau – Tvarkos aprašas). Į pateiktas pastabas ir pasiūlymus atsižvelgta,  Tvarkos aprašo 12 ir 13 punktai. </w:t>
            </w:r>
          </w:p>
          <w:p w14:paraId="1EC2F873" w14:textId="1BBBBB18" w:rsidR="004B7E9A" w:rsidRPr="004B7E9A" w:rsidRDefault="004B7E9A" w:rsidP="00DC08DA">
            <w:pPr>
              <w:tabs>
                <w:tab w:val="left" w:pos="0"/>
              </w:tabs>
              <w:suppressAutoHyphens/>
              <w:spacing w:line="276" w:lineRule="auto"/>
              <w:ind w:firstLine="720"/>
              <w:jc w:val="both"/>
              <w:rPr>
                <w:i/>
                <w:iCs/>
              </w:rPr>
            </w:pPr>
            <w:r w:rsidRPr="004B7E9A">
              <w:rPr>
                <w:i/>
                <w:iCs/>
              </w:rPr>
              <w:t>„12. Prašyme nurodoma:</w:t>
            </w:r>
          </w:p>
          <w:p w14:paraId="38C21018" w14:textId="77777777" w:rsidR="004B7E9A" w:rsidRPr="004B7E9A" w:rsidRDefault="004B7E9A" w:rsidP="00DC08DA">
            <w:pPr>
              <w:tabs>
                <w:tab w:val="left" w:pos="0"/>
              </w:tabs>
              <w:suppressAutoHyphens/>
              <w:spacing w:line="276" w:lineRule="auto"/>
              <w:ind w:firstLine="720"/>
              <w:jc w:val="both"/>
              <w:rPr>
                <w:i/>
                <w:iCs/>
              </w:rPr>
            </w:pPr>
            <w:r w:rsidRPr="004B7E9A">
              <w:rPr>
                <w:i/>
                <w:iCs/>
              </w:rPr>
              <w:t>12.1. fizinio ar juridinio asmens identifikaciniai ir kontaktiniai duomenys;</w:t>
            </w:r>
          </w:p>
          <w:p w14:paraId="07F04B07" w14:textId="77777777" w:rsidR="004B7E9A" w:rsidRPr="004B7E9A" w:rsidRDefault="004B7E9A" w:rsidP="00DC08DA">
            <w:pPr>
              <w:tabs>
                <w:tab w:val="left" w:pos="0"/>
              </w:tabs>
              <w:suppressAutoHyphens/>
              <w:spacing w:line="276" w:lineRule="auto"/>
              <w:ind w:firstLine="720"/>
              <w:jc w:val="both"/>
              <w:rPr>
                <w:i/>
                <w:iCs/>
              </w:rPr>
            </w:pPr>
            <w:r w:rsidRPr="004B7E9A">
              <w:rPr>
                <w:i/>
                <w:iCs/>
              </w:rPr>
              <w:t>12.2. žalos atsiradimo data, žalos dydis, pobūdis ir aplinkybės;</w:t>
            </w:r>
          </w:p>
          <w:p w14:paraId="287B0B02" w14:textId="77777777" w:rsidR="004B7E9A" w:rsidRPr="004B7E9A" w:rsidRDefault="004B7E9A" w:rsidP="00DC08DA">
            <w:pPr>
              <w:tabs>
                <w:tab w:val="left" w:pos="0"/>
              </w:tabs>
              <w:suppressAutoHyphens/>
              <w:spacing w:line="276" w:lineRule="auto"/>
              <w:ind w:firstLine="720"/>
              <w:jc w:val="both"/>
              <w:rPr>
                <w:i/>
                <w:iCs/>
              </w:rPr>
            </w:pPr>
            <w:r w:rsidRPr="004B7E9A">
              <w:rPr>
                <w:i/>
                <w:iCs/>
              </w:rPr>
              <w:t>12.3. priežastys, dėl kurių turtas, už kurį prašoma suteikti Savivaldybės paramą, žalos atsiradimo metu nebuvo apdraustas, o jei buvo apdraustas – informaciją apie draudimo išmoką;</w:t>
            </w:r>
          </w:p>
          <w:p w14:paraId="13621FCD" w14:textId="77777777" w:rsidR="004B7E9A" w:rsidRPr="004B7E9A" w:rsidRDefault="004B7E9A" w:rsidP="00DC08DA">
            <w:pPr>
              <w:tabs>
                <w:tab w:val="left" w:pos="0"/>
              </w:tabs>
              <w:suppressAutoHyphens/>
              <w:spacing w:line="276" w:lineRule="auto"/>
              <w:ind w:firstLine="720"/>
              <w:jc w:val="both"/>
              <w:rPr>
                <w:i/>
                <w:iCs/>
              </w:rPr>
            </w:pPr>
            <w:r w:rsidRPr="004B7E9A">
              <w:rPr>
                <w:i/>
                <w:iCs/>
              </w:rPr>
              <w:t>12.4. nurodoma banko sąskaita, į kurią bus pervedamos lėšos.</w:t>
            </w:r>
          </w:p>
          <w:p w14:paraId="366AA74E" w14:textId="77777777" w:rsidR="004B7E9A" w:rsidRPr="004B7E9A" w:rsidRDefault="004B7E9A" w:rsidP="00DC08DA">
            <w:pPr>
              <w:tabs>
                <w:tab w:val="left" w:pos="0"/>
              </w:tabs>
              <w:spacing w:line="276" w:lineRule="auto"/>
              <w:ind w:firstLine="720"/>
              <w:jc w:val="both"/>
              <w:rPr>
                <w:i/>
                <w:iCs/>
              </w:rPr>
            </w:pPr>
            <w:r w:rsidRPr="004B7E9A">
              <w:rPr>
                <w:i/>
                <w:iCs/>
              </w:rPr>
              <w:t>13. Kartu su prašymu pateikiami:</w:t>
            </w:r>
          </w:p>
          <w:p w14:paraId="34A13F24" w14:textId="77777777" w:rsidR="004B7E9A" w:rsidRPr="004B7E9A" w:rsidRDefault="004B7E9A" w:rsidP="00DC08DA">
            <w:pPr>
              <w:tabs>
                <w:tab w:val="left" w:pos="0"/>
              </w:tabs>
              <w:spacing w:line="276" w:lineRule="auto"/>
              <w:ind w:firstLine="720"/>
              <w:jc w:val="both"/>
              <w:rPr>
                <w:i/>
                <w:iCs/>
              </w:rPr>
            </w:pPr>
            <w:r w:rsidRPr="004B7E9A">
              <w:rPr>
                <w:i/>
                <w:iCs/>
              </w:rPr>
              <w:t>13.1. nuosavybės teisę į turtą, kurio netenka ar kuris sugadintas, patvirtinantys dokumentai</w:t>
            </w:r>
            <w:r w:rsidRPr="004B7E9A">
              <w:rPr>
                <w:i/>
                <w:iCs/>
                <w:lang w:eastAsia="zh-CN"/>
              </w:rPr>
              <w:t xml:space="preserve"> (Nekilnojamojo turto registro pažyma ir suvestinė iš registrų centro apie visą turimą turtą);</w:t>
            </w:r>
          </w:p>
          <w:p w14:paraId="29001FD2" w14:textId="77777777" w:rsidR="004B7E9A" w:rsidRPr="004B7E9A" w:rsidRDefault="004B7E9A" w:rsidP="00DC08DA">
            <w:pPr>
              <w:tabs>
                <w:tab w:val="left" w:pos="0"/>
              </w:tabs>
              <w:spacing w:line="276" w:lineRule="auto"/>
              <w:ind w:firstLine="720"/>
              <w:jc w:val="both"/>
              <w:rPr>
                <w:i/>
                <w:iCs/>
              </w:rPr>
            </w:pPr>
            <w:r w:rsidRPr="004B7E9A">
              <w:rPr>
                <w:i/>
                <w:iCs/>
              </w:rPr>
              <w:t>13.2. taip pat žalos dydį (nepriklausomų turto vertintojų išvada arba žalų ekspertų išvada) ir</w:t>
            </w:r>
            <w:r w:rsidRPr="004B7E9A">
              <w:rPr>
                <w:i/>
                <w:iCs/>
                <w:strike/>
              </w:rPr>
              <w:t xml:space="preserve"> </w:t>
            </w:r>
            <w:r w:rsidRPr="004B7E9A">
              <w:rPr>
                <w:i/>
                <w:iCs/>
              </w:rPr>
              <w:t xml:space="preserve">(arba) turėtas išlaidas (tiesioginius nuostolius) </w:t>
            </w:r>
            <w:r w:rsidRPr="004B7E9A">
              <w:rPr>
                <w:i/>
                <w:iCs/>
              </w:rPr>
              <w:lastRenderedPageBreak/>
              <w:t>pagrindžiantys dokumentai (sąskaitos faktūros, kasos kvitai, banko išrašai ir kt.) tik patirtai žalai padengti;</w:t>
            </w:r>
          </w:p>
          <w:p w14:paraId="04D189AB" w14:textId="77777777" w:rsidR="004B7E9A" w:rsidRPr="004B7E9A" w:rsidRDefault="004B7E9A" w:rsidP="00DC08DA">
            <w:pPr>
              <w:tabs>
                <w:tab w:val="left" w:pos="0"/>
              </w:tabs>
              <w:spacing w:line="276" w:lineRule="auto"/>
              <w:ind w:firstLine="720"/>
              <w:jc w:val="both"/>
              <w:rPr>
                <w:i/>
                <w:iCs/>
              </w:rPr>
            </w:pPr>
            <w:r w:rsidRPr="004B7E9A">
              <w:rPr>
                <w:i/>
                <w:iCs/>
              </w:rPr>
              <w:t>13.3.</w:t>
            </w:r>
            <w:r w:rsidRPr="004B7E9A">
              <w:rPr>
                <w:bCs/>
                <w:i/>
                <w:iCs/>
              </w:rPr>
              <w:t xml:space="preserve"> įmonės įregistravimą savivaldybės teritorijoje pagrindžiančių dokumentų kopijos;</w:t>
            </w:r>
          </w:p>
          <w:p w14:paraId="759B1872" w14:textId="77777777" w:rsidR="004B7E9A" w:rsidRPr="004B7E9A" w:rsidRDefault="004B7E9A" w:rsidP="00DC08DA">
            <w:pPr>
              <w:tabs>
                <w:tab w:val="left" w:pos="0"/>
              </w:tabs>
              <w:spacing w:line="276" w:lineRule="auto"/>
              <w:ind w:firstLine="720"/>
              <w:jc w:val="both"/>
              <w:rPr>
                <w:i/>
                <w:iCs/>
              </w:rPr>
            </w:pPr>
            <w:r w:rsidRPr="004B7E9A">
              <w:rPr>
                <w:i/>
                <w:iCs/>
              </w:rPr>
              <w:t>13.4. tarnybų pažymos (gaisro atveju – priešgaisrinės gelbėjimo tarnybos pažyma, stichinės nelaimės atveju – hidrometeorologijos tarnybos pažyma);</w:t>
            </w:r>
          </w:p>
          <w:p w14:paraId="5A05B783" w14:textId="77777777" w:rsidR="004B7E9A" w:rsidRPr="004B7E9A" w:rsidRDefault="004B7E9A" w:rsidP="00DC08DA">
            <w:pPr>
              <w:tabs>
                <w:tab w:val="left" w:pos="0"/>
              </w:tabs>
              <w:spacing w:line="276" w:lineRule="auto"/>
              <w:ind w:firstLine="720"/>
              <w:jc w:val="both"/>
              <w:rPr>
                <w:i/>
                <w:iCs/>
              </w:rPr>
            </w:pPr>
            <w:r w:rsidRPr="004B7E9A">
              <w:rPr>
                <w:i/>
                <w:iCs/>
              </w:rPr>
              <w:t xml:space="preserve">13.5. deklaruotos gyvenamosios vietos pažyma; </w:t>
            </w:r>
          </w:p>
          <w:p w14:paraId="285DFE39" w14:textId="77777777" w:rsidR="004B7E9A" w:rsidRPr="004B7E9A" w:rsidRDefault="004B7E9A" w:rsidP="00DC08DA">
            <w:pPr>
              <w:tabs>
                <w:tab w:val="left" w:pos="0"/>
              </w:tabs>
              <w:spacing w:line="276" w:lineRule="auto"/>
              <w:ind w:firstLine="720"/>
              <w:jc w:val="both"/>
              <w:rPr>
                <w:rFonts w:eastAsia="Calibri"/>
                <w:i/>
                <w:iCs/>
              </w:rPr>
            </w:pPr>
            <w:r w:rsidRPr="004B7E9A">
              <w:rPr>
                <w:rFonts w:eastAsia="Calibri"/>
                <w:i/>
                <w:iCs/>
              </w:rPr>
              <w:t>13.6. Sodra - duomenų bazės išrašas (</w:t>
            </w:r>
            <w:r w:rsidRPr="004B7E9A">
              <w:rPr>
                <w:i/>
                <w:iCs/>
                <w:lang w:eastAsia="zh-CN"/>
              </w:rPr>
              <w:t>teikiama informacija apie pajamas už kalendorinius pusę metų</w:t>
            </w:r>
            <w:r w:rsidRPr="004B7E9A">
              <w:rPr>
                <w:rFonts w:eastAsia="Calibri"/>
                <w:i/>
                <w:iCs/>
              </w:rPr>
              <w:t xml:space="preserve">); </w:t>
            </w:r>
          </w:p>
          <w:p w14:paraId="38EE9E2F" w14:textId="77777777" w:rsidR="004B7E9A" w:rsidRPr="004B7E9A" w:rsidRDefault="004B7E9A" w:rsidP="00DC08DA">
            <w:pPr>
              <w:tabs>
                <w:tab w:val="left" w:pos="0"/>
              </w:tabs>
              <w:spacing w:line="276" w:lineRule="auto"/>
              <w:ind w:firstLine="720"/>
              <w:jc w:val="both"/>
              <w:rPr>
                <w:rFonts w:eastAsia="Calibri"/>
                <w:i/>
                <w:iCs/>
              </w:rPr>
            </w:pPr>
            <w:r w:rsidRPr="004B7E9A">
              <w:rPr>
                <w:rFonts w:eastAsia="Calibri"/>
                <w:i/>
                <w:iCs/>
              </w:rPr>
              <w:t>13.7. Gyventojų registras - duomenų bazės išrašas;</w:t>
            </w:r>
          </w:p>
          <w:p w14:paraId="353743DF" w14:textId="77777777" w:rsidR="004B7E9A" w:rsidRPr="004B7E9A" w:rsidRDefault="004B7E9A" w:rsidP="00DC08DA">
            <w:pPr>
              <w:tabs>
                <w:tab w:val="left" w:pos="0"/>
              </w:tabs>
              <w:spacing w:line="276" w:lineRule="auto"/>
              <w:ind w:firstLine="720"/>
              <w:jc w:val="both"/>
              <w:rPr>
                <w:rFonts w:eastAsia="Calibri"/>
                <w:i/>
                <w:iCs/>
              </w:rPr>
            </w:pPr>
            <w:r w:rsidRPr="004B7E9A">
              <w:rPr>
                <w:rFonts w:eastAsia="Calibri"/>
                <w:i/>
                <w:iCs/>
              </w:rPr>
              <w:t>13.8. tos teritorijos seniūno buities ir gyvenimo sąlygų patikrinimo aktas;</w:t>
            </w:r>
          </w:p>
          <w:p w14:paraId="243390D7" w14:textId="77777777" w:rsidR="004B7E9A" w:rsidRPr="004B7E9A" w:rsidRDefault="004B7E9A" w:rsidP="00DC08DA">
            <w:pPr>
              <w:tabs>
                <w:tab w:val="left" w:pos="0"/>
              </w:tabs>
              <w:spacing w:line="276" w:lineRule="auto"/>
              <w:ind w:firstLine="720"/>
              <w:jc w:val="both"/>
              <w:rPr>
                <w:rFonts w:eastAsia="Calibri"/>
                <w:i/>
                <w:iCs/>
              </w:rPr>
            </w:pPr>
            <w:r w:rsidRPr="004B7E9A">
              <w:rPr>
                <w:rFonts w:eastAsia="Calibri"/>
                <w:i/>
                <w:iCs/>
              </w:rPr>
              <w:t>13.9. įvykio vietos nuotraukos;</w:t>
            </w:r>
          </w:p>
          <w:p w14:paraId="69483EE0" w14:textId="77777777" w:rsidR="004B7E9A" w:rsidRPr="004B7E9A" w:rsidRDefault="004B7E9A" w:rsidP="00DC08DA">
            <w:pPr>
              <w:tabs>
                <w:tab w:val="left" w:pos="0"/>
              </w:tabs>
              <w:spacing w:line="276" w:lineRule="auto"/>
              <w:ind w:firstLine="720"/>
              <w:jc w:val="both"/>
              <w:rPr>
                <w:i/>
                <w:iCs/>
              </w:rPr>
            </w:pPr>
            <w:r w:rsidRPr="004B7E9A">
              <w:rPr>
                <w:i/>
                <w:iCs/>
              </w:rPr>
              <w:t xml:space="preserve">13.10. ir kitus dokumentus, leidžiančius įvertinti prašyme nurodytas aplinkybes. </w:t>
            </w:r>
          </w:p>
          <w:p w14:paraId="5A5EC7F9" w14:textId="5DFBAAA3" w:rsidR="00617851" w:rsidRPr="005204AD" w:rsidRDefault="004B7E9A" w:rsidP="00DC08DA">
            <w:pPr>
              <w:tabs>
                <w:tab w:val="left" w:pos="0"/>
              </w:tabs>
              <w:suppressAutoHyphens/>
              <w:spacing w:line="276" w:lineRule="auto"/>
              <w:ind w:firstLine="720"/>
              <w:jc w:val="both"/>
              <w:rPr>
                <w:i/>
                <w:iCs/>
              </w:rPr>
            </w:pPr>
            <w:r w:rsidRPr="004B7E9A">
              <w:rPr>
                <w:i/>
                <w:iCs/>
              </w:rPr>
              <w:t>Kai kuriuos iš minėtų dokumentų (pvz., 13.1, 13.5, 13.6 ir 13.7 punktuose nurodytus išrašus) seniūnija gali gauti savarankiškai iš valstybinių registrų ir informacinių sistemų. Tokiu atveju pareiškėjui jų teikti nereikia, jei yra pateiktas sutikimas tvarkyti asmens duomenis.“</w:t>
            </w:r>
          </w:p>
        </w:tc>
        <w:tc>
          <w:tcPr>
            <w:tcW w:w="1296" w:type="dxa"/>
          </w:tcPr>
          <w:p w14:paraId="012A86E9" w14:textId="77777777" w:rsidR="0037500E" w:rsidRPr="002B3452" w:rsidRDefault="0037500E" w:rsidP="00187C33">
            <w:pPr>
              <w:widowControl w:val="0"/>
              <w:rPr>
                <w:snapToGrid w:val="0"/>
              </w:rPr>
            </w:pPr>
          </w:p>
        </w:tc>
      </w:tr>
      <w:tr w:rsidR="0037500E" w:rsidRPr="002B3452" w14:paraId="3D6A8FFD" w14:textId="77777777" w:rsidTr="00F86BA6">
        <w:tc>
          <w:tcPr>
            <w:tcW w:w="2814" w:type="dxa"/>
          </w:tcPr>
          <w:p w14:paraId="4CF79C2F" w14:textId="77777777" w:rsidR="0038784D" w:rsidRDefault="0038784D" w:rsidP="00DC08DA">
            <w:pPr>
              <w:jc w:val="both"/>
              <w:rPr>
                <w:noProof/>
              </w:rPr>
            </w:pPr>
            <w:r>
              <w:rPr>
                <w:noProof/>
              </w:rPr>
              <w:t>4</w:t>
            </w:r>
            <w:r w:rsidRPr="003C217E">
              <w:rPr>
                <w:noProof/>
              </w:rPr>
              <w:t xml:space="preserve">.1.1.2. </w:t>
            </w:r>
            <w:r w:rsidRPr="00763996">
              <w:rPr>
                <w:rFonts w:eastAsiaTheme="minorHAnsi"/>
                <w:noProof/>
              </w:rPr>
              <w:t xml:space="preserve">Savivaldybių Rezervo lėšų skirstymas yra itin neapibrėžtas ir pasižymi itin didele atsakingų subjektų diskrecija šiame procese. Savivaldybės nėra teisiniame reglamentavime įtvirtinusios aiškių kriterijų, apskaičiavimo metodikų ar lėšų ribų, </w:t>
            </w:r>
            <w:r w:rsidRPr="00763996">
              <w:rPr>
                <w:rFonts w:eastAsiaTheme="minorHAnsi"/>
                <w:noProof/>
              </w:rPr>
              <w:lastRenderedPageBreak/>
              <w:t>pagal kurias būtų sprendžiama dėl žalos atlyginimo dydžio</w:t>
            </w:r>
            <w:r>
              <w:rPr>
                <w:rFonts w:eastAsiaTheme="minorHAnsi"/>
                <w:noProof/>
              </w:rPr>
              <w:t xml:space="preserve"> nuo prašomos pareiškėjo sumos</w:t>
            </w:r>
            <w:r w:rsidRPr="00763996">
              <w:rPr>
                <w:rFonts w:eastAsiaTheme="minorHAnsi"/>
                <w:noProof/>
              </w:rPr>
              <w:t>. Išmokos</w:t>
            </w:r>
            <w:r>
              <w:rPr>
                <w:rFonts w:eastAsiaTheme="minorHAnsi"/>
                <w:noProof/>
              </w:rPr>
              <w:t xml:space="preserve"> nustatomos ir</w:t>
            </w:r>
            <w:r w:rsidRPr="00763996">
              <w:rPr>
                <w:rFonts w:eastAsiaTheme="minorHAnsi"/>
                <w:noProof/>
              </w:rPr>
              <w:t xml:space="preserve"> skiriamos mero potvarkiu be objektyvios ir vienodos metodikos, todėl tai kelia </w:t>
            </w:r>
            <w:r>
              <w:rPr>
                <w:rFonts w:eastAsiaTheme="minorHAnsi"/>
                <w:noProof/>
              </w:rPr>
              <w:t>neteisėtų susitarimų ir subjektyvių sprendimų rizikas</w:t>
            </w:r>
            <w:r w:rsidRPr="003C217E">
              <w:rPr>
                <w:rFonts w:eastAsiaTheme="minorHAnsi"/>
                <w:noProof/>
              </w:rPr>
              <w:t xml:space="preserve"> </w:t>
            </w:r>
            <w:r w:rsidRPr="003C217E">
              <w:rPr>
                <w:noProof/>
              </w:rPr>
              <w:t>(</w:t>
            </w:r>
            <w:r w:rsidRPr="005555ED">
              <w:rPr>
                <w:i/>
                <w:iCs/>
                <w:noProof/>
              </w:rPr>
              <w:t>motyvai nurodyti 3.3. skyriuje</w:t>
            </w:r>
            <w:r w:rsidRPr="003C217E">
              <w:rPr>
                <w:noProof/>
              </w:rPr>
              <w:t>).</w:t>
            </w:r>
          </w:p>
          <w:p w14:paraId="531AF5DA" w14:textId="77777777" w:rsidR="0037500E" w:rsidRPr="002B3452" w:rsidRDefault="0037500E" w:rsidP="00DC08DA">
            <w:pPr>
              <w:widowControl w:val="0"/>
              <w:jc w:val="both"/>
              <w:rPr>
                <w:snapToGrid w:val="0"/>
              </w:rPr>
            </w:pPr>
          </w:p>
        </w:tc>
        <w:tc>
          <w:tcPr>
            <w:tcW w:w="2416" w:type="dxa"/>
          </w:tcPr>
          <w:p w14:paraId="626F1DC1" w14:textId="77777777" w:rsidR="009B71D0" w:rsidRPr="005434D6" w:rsidRDefault="009B71D0" w:rsidP="00DC08DA">
            <w:pPr>
              <w:tabs>
                <w:tab w:val="left" w:pos="709"/>
                <w:tab w:val="left" w:pos="1134"/>
              </w:tabs>
              <w:jc w:val="both"/>
              <w:rPr>
                <w:noProof/>
              </w:rPr>
            </w:pPr>
            <w:r w:rsidRPr="005434D6">
              <w:rPr>
                <w:noProof/>
              </w:rPr>
              <w:lastRenderedPageBreak/>
              <w:t>5.1.2.2. Teisiniame reglamentavime įtvirtinti lėšų skirstymo metodiką (</w:t>
            </w:r>
            <w:r w:rsidRPr="005434D6">
              <w:rPr>
                <w:i/>
                <w:iCs/>
                <w:noProof/>
              </w:rPr>
              <w:t>pavyzdžiui, lėšų dydis koreliuoja remiantis turto vertintojų išvadomis ar kitais objektyviais dokumentais</w:t>
            </w:r>
            <w:r w:rsidRPr="005434D6">
              <w:rPr>
                <w:noProof/>
              </w:rPr>
              <w:t>) (dėl 4.1.1.2. pastabos).</w:t>
            </w:r>
          </w:p>
          <w:p w14:paraId="5BD56E59" w14:textId="77777777" w:rsidR="009B71D0" w:rsidRPr="005434D6" w:rsidRDefault="009B71D0" w:rsidP="00DC08DA">
            <w:pPr>
              <w:tabs>
                <w:tab w:val="left" w:pos="709"/>
                <w:tab w:val="left" w:pos="1134"/>
              </w:tabs>
              <w:jc w:val="both"/>
              <w:rPr>
                <w:noProof/>
              </w:rPr>
            </w:pPr>
            <w:r w:rsidRPr="005434D6">
              <w:rPr>
                <w:noProof/>
              </w:rPr>
              <w:lastRenderedPageBreak/>
              <w:t>5.1.2.3. Įtvirtinti aiškius skiriamų lėšų dydžius ar maksimalius rėžius (</w:t>
            </w:r>
            <w:r w:rsidRPr="005434D6">
              <w:rPr>
                <w:i/>
                <w:iCs/>
                <w:noProof/>
              </w:rPr>
              <w:t>pavyzdžiui, nustatyti ribas procentais nuo nustatytos žalos ar fiksuotomis sumomis ir kt.</w:t>
            </w:r>
            <w:r w:rsidRPr="005434D6">
              <w:rPr>
                <w:noProof/>
              </w:rPr>
              <w:t>) (dėl 4.1.1.2. pastabos).</w:t>
            </w:r>
          </w:p>
          <w:p w14:paraId="25F72220" w14:textId="77777777" w:rsidR="009B71D0" w:rsidRPr="005434D6" w:rsidRDefault="009B71D0" w:rsidP="00DC08DA">
            <w:pPr>
              <w:tabs>
                <w:tab w:val="left" w:pos="709"/>
                <w:tab w:val="left" w:pos="1134"/>
              </w:tabs>
              <w:jc w:val="both"/>
              <w:rPr>
                <w:noProof/>
              </w:rPr>
            </w:pPr>
            <w:r w:rsidRPr="005434D6">
              <w:rPr>
                <w:noProof/>
              </w:rPr>
              <w:t>5.1.2.4. Nustatyti pareiškėjų prioritetinius kriterijus, kurie būtų taikomi tais atvejais, kai neužtenka Rezervo lėšų patenkinti visų prašymų (dėl 4.1.1.2. pastabos).</w:t>
            </w:r>
          </w:p>
          <w:p w14:paraId="4C569133" w14:textId="77777777" w:rsidR="0037500E" w:rsidRPr="002B3452" w:rsidRDefault="0037500E" w:rsidP="00DC08DA">
            <w:pPr>
              <w:widowControl w:val="0"/>
              <w:jc w:val="both"/>
              <w:rPr>
                <w:snapToGrid w:val="0"/>
              </w:rPr>
            </w:pPr>
          </w:p>
        </w:tc>
        <w:tc>
          <w:tcPr>
            <w:tcW w:w="7750" w:type="dxa"/>
          </w:tcPr>
          <w:p w14:paraId="40BCBC67" w14:textId="7DD8D915" w:rsidR="0037500E" w:rsidRDefault="004B7E9A" w:rsidP="00DC08DA">
            <w:pPr>
              <w:shd w:val="clear" w:color="auto" w:fill="FFFFFF"/>
              <w:tabs>
                <w:tab w:val="left" w:pos="0"/>
              </w:tabs>
              <w:spacing w:line="276" w:lineRule="auto"/>
              <w:ind w:firstLine="709"/>
              <w:jc w:val="both"/>
            </w:pPr>
            <w:r w:rsidRPr="005204AD">
              <w:lastRenderedPageBreak/>
              <w:t>Į pateiktas pastabas ir pasiūlymus atsižvelgta</w:t>
            </w:r>
            <w:r w:rsidR="00AA74AB">
              <w:t xml:space="preserve">, </w:t>
            </w:r>
            <w:r w:rsidRPr="005204AD">
              <w:t xml:space="preserve"> </w:t>
            </w:r>
            <w:r w:rsidR="00AA74AB">
              <w:t>T</w:t>
            </w:r>
            <w:r w:rsidRPr="005204AD">
              <w:t>varkos aprašo</w:t>
            </w:r>
            <w:r>
              <w:t xml:space="preserve"> </w:t>
            </w:r>
            <w:r w:rsidR="00452504">
              <w:t xml:space="preserve">7 ir 8 </w:t>
            </w:r>
            <w:r w:rsidR="0010135E">
              <w:t xml:space="preserve"> punkt</w:t>
            </w:r>
            <w:r w:rsidR="00AA74AB">
              <w:t>ai</w:t>
            </w:r>
            <w:r w:rsidR="00452504">
              <w:t>.</w:t>
            </w:r>
            <w:r w:rsidR="0010135E">
              <w:t xml:space="preserve"> </w:t>
            </w:r>
            <w:bookmarkStart w:id="0" w:name="part_1a5a8706c7fc4ff6a95937b741681045"/>
            <w:bookmarkStart w:id="1" w:name="part_0408e5f10f3b4610863caaf612a1ea8a"/>
            <w:bookmarkStart w:id="2" w:name="part_d205314f178942b5a4d092e3fa72a0b6"/>
            <w:bookmarkStart w:id="3" w:name="part_f35d73f7639e4aaaa194ef950535bd93"/>
            <w:bookmarkEnd w:id="0"/>
            <w:bookmarkEnd w:id="1"/>
            <w:bookmarkEnd w:id="2"/>
            <w:bookmarkEnd w:id="3"/>
          </w:p>
          <w:p w14:paraId="375454E6" w14:textId="65963323" w:rsidR="004B7E9A" w:rsidRPr="004B7E9A" w:rsidRDefault="004B7E9A" w:rsidP="00DC08DA">
            <w:pPr>
              <w:shd w:val="clear" w:color="auto" w:fill="FFFFFF"/>
              <w:tabs>
                <w:tab w:val="left" w:pos="0"/>
              </w:tabs>
              <w:spacing w:line="276" w:lineRule="auto"/>
              <w:ind w:firstLine="709"/>
              <w:jc w:val="both"/>
              <w:rPr>
                <w:i/>
                <w:iCs/>
              </w:rPr>
            </w:pPr>
            <w:r w:rsidRPr="004B7E9A">
              <w:rPr>
                <w:i/>
                <w:iCs/>
              </w:rPr>
              <w:t>„7. Lėšos gali būti skiriamos fiziniams ir (arba) juridiniams asmenims,</w:t>
            </w:r>
            <w:r w:rsidRPr="004B7E9A">
              <w:rPr>
                <w:i/>
                <w:iCs/>
                <w:lang w:val="x-none"/>
              </w:rPr>
              <w:t xml:space="preserve"> ir fiziniams asmenims, vykdantiems ekonominę veiklą</w:t>
            </w:r>
            <w:r w:rsidRPr="004B7E9A">
              <w:rPr>
                <w:i/>
                <w:iCs/>
              </w:rPr>
              <w:t xml:space="preserve">: </w:t>
            </w:r>
          </w:p>
          <w:p w14:paraId="3949C1C3" w14:textId="77777777" w:rsidR="004B7E9A" w:rsidRPr="004B7E9A" w:rsidRDefault="004B7E9A" w:rsidP="00DC08DA">
            <w:pPr>
              <w:shd w:val="clear" w:color="auto" w:fill="FFFFFF"/>
              <w:tabs>
                <w:tab w:val="left" w:pos="0"/>
              </w:tabs>
              <w:spacing w:line="276" w:lineRule="auto"/>
              <w:ind w:firstLine="709"/>
              <w:jc w:val="both"/>
              <w:rPr>
                <w:i/>
                <w:iCs/>
                <w:strike/>
              </w:rPr>
            </w:pPr>
            <w:r w:rsidRPr="004B7E9A">
              <w:rPr>
                <w:i/>
                <w:iCs/>
              </w:rPr>
              <w:t xml:space="preserve">7.1. Fiziniams asmenims lėšos skiriamos nekilnojamajam turtui nukentėjus nuosavybės teise priklausantiems Nekilnojamojo turto registro pažymoje įtrauktiems objektams: gyvenamajam būstui (butui, namui ir pan.) ar </w:t>
            </w:r>
            <w:bookmarkStart w:id="4" w:name="_Hlk202966659"/>
            <w:r w:rsidRPr="004B7E9A">
              <w:rPr>
                <w:i/>
                <w:iCs/>
              </w:rPr>
              <w:t>ūkiniam pastatui (tvartui, daržinei ar kitam ūkiniam pastatui)</w:t>
            </w:r>
            <w:bookmarkEnd w:id="4"/>
            <w:r w:rsidRPr="004B7E9A">
              <w:rPr>
                <w:i/>
                <w:iCs/>
              </w:rPr>
              <w:t xml:space="preserve">. Gyvenamajame būste turi būti deklaruota nuostolius patyrusių  asmenų ar vieno gyvenančio asmens gyvenamoji vieta </w:t>
            </w:r>
            <w:r w:rsidRPr="004B7E9A">
              <w:rPr>
                <w:i/>
                <w:iCs/>
                <w:u w:val="single"/>
              </w:rPr>
              <w:t xml:space="preserve"> </w:t>
            </w:r>
            <w:r w:rsidRPr="004B7E9A">
              <w:rPr>
                <w:i/>
                <w:iCs/>
              </w:rPr>
              <w:t xml:space="preserve">ir nuosavybės teise jie gali turėti ne daugiau kaip </w:t>
            </w:r>
            <w:r w:rsidRPr="004B7E9A">
              <w:rPr>
                <w:i/>
                <w:iCs/>
              </w:rPr>
              <w:lastRenderedPageBreak/>
              <w:t xml:space="preserve">vieną papildomą gyvenamąjį būstą ar jo dalį, Tvarkos 6 punkte nurodytiems įvykiams ir (ar situacijoms). </w:t>
            </w:r>
          </w:p>
          <w:p w14:paraId="5D9B373F" w14:textId="77777777" w:rsidR="004B7E9A" w:rsidRPr="004B7E9A" w:rsidRDefault="004B7E9A" w:rsidP="00DC08DA">
            <w:pPr>
              <w:shd w:val="clear" w:color="auto" w:fill="FFFFFF"/>
              <w:tabs>
                <w:tab w:val="left" w:pos="0"/>
              </w:tabs>
              <w:spacing w:line="276" w:lineRule="auto"/>
              <w:ind w:firstLine="709"/>
              <w:jc w:val="both"/>
              <w:rPr>
                <w:i/>
                <w:iCs/>
              </w:rPr>
            </w:pPr>
            <w:r w:rsidRPr="004B7E9A">
              <w:rPr>
                <w:i/>
                <w:iCs/>
                <w:lang w:val="x-none"/>
              </w:rPr>
              <w:t xml:space="preserve">7.2. Juridiniams ir fiziniams asmenims, vykdantiems ekonominę veiklą, lėšos skiriamos </w:t>
            </w:r>
            <w:r w:rsidRPr="004B7E9A">
              <w:rPr>
                <w:i/>
                <w:iCs/>
              </w:rPr>
              <w:t xml:space="preserve">vykdantiems savo veiklą Šiaulių rajono savivaldybėje ir turintiems nuosavybės teise registruoto nekilnojamojo turto Šiaulių rajono savivaldybėje, Tvarkos 6 punkte nurodytiems įvykiams ir (ar situacijoms). </w:t>
            </w:r>
            <w:r w:rsidRPr="004B7E9A">
              <w:rPr>
                <w:i/>
                <w:iCs/>
                <w:shd w:val="clear" w:color="auto" w:fill="FFFFFF"/>
              </w:rPr>
              <w:t>Ši nuostata taikoma ir tais atvejais, jeigu juridiniam asmeniui turtas yra perduotas valdyti ir naudoti jį pagal turto panaudos, patikėjimo ar nuomos sutartis.</w:t>
            </w:r>
          </w:p>
          <w:p w14:paraId="26A34AD3" w14:textId="77777777" w:rsidR="004B7E9A" w:rsidRPr="004B7E9A" w:rsidRDefault="004B7E9A" w:rsidP="00DC08DA">
            <w:pPr>
              <w:shd w:val="clear" w:color="auto" w:fill="FFFFFF"/>
              <w:tabs>
                <w:tab w:val="left" w:pos="0"/>
              </w:tabs>
              <w:spacing w:line="276" w:lineRule="auto"/>
              <w:ind w:firstLine="709"/>
              <w:jc w:val="both"/>
              <w:rPr>
                <w:i/>
                <w:iCs/>
              </w:rPr>
            </w:pPr>
            <w:r w:rsidRPr="004B7E9A">
              <w:rPr>
                <w:i/>
                <w:iCs/>
              </w:rPr>
              <w:t>Esant ribotoms žalos kompensavimo galimybėms, nustatant skiriamų lėšų dydį fiziniams asmenims prioritetas teikiamas, atsižvelgiant į fizinių asmenų (šeimos) materialinę bei socialinę padėtį (sunki materialinė padėtis, daugiavaikė šeima, vienišas asmuo, negalią turintis asmuo), o juridiniams asmenims proporcingai turimoms lėšoms, patenkinus fizinių asmenų prašymus;</w:t>
            </w:r>
          </w:p>
          <w:p w14:paraId="617A3972" w14:textId="77777777" w:rsidR="004B7E9A" w:rsidRPr="004B7E9A" w:rsidRDefault="004B7E9A" w:rsidP="00DC08DA">
            <w:pPr>
              <w:shd w:val="clear" w:color="auto" w:fill="FFFFFF"/>
              <w:tabs>
                <w:tab w:val="left" w:pos="0"/>
              </w:tabs>
              <w:spacing w:line="276" w:lineRule="auto"/>
              <w:ind w:firstLine="709"/>
              <w:jc w:val="both"/>
              <w:rPr>
                <w:i/>
                <w:iCs/>
              </w:rPr>
            </w:pPr>
            <w:r w:rsidRPr="004B7E9A">
              <w:rPr>
                <w:i/>
                <w:iCs/>
              </w:rPr>
              <w:t xml:space="preserve">8. Mero rezervo lėšų dydis negali būti didesnis kaip – 50 proc. patirtos žalos dydžio (skirtumas tarp žalos dydžio ir draudimo išmokos jei turtas buvo draustas), bet ne daugiau kaip 100 BSI dydžių. </w:t>
            </w:r>
          </w:p>
          <w:p w14:paraId="300D25AC" w14:textId="2E77ACB3" w:rsidR="004B7E9A" w:rsidRPr="004B7E9A" w:rsidRDefault="004B7E9A" w:rsidP="00DC08DA">
            <w:pPr>
              <w:shd w:val="clear" w:color="auto" w:fill="FFFFFF"/>
              <w:tabs>
                <w:tab w:val="left" w:pos="0"/>
              </w:tabs>
              <w:spacing w:line="276" w:lineRule="auto"/>
              <w:jc w:val="both"/>
            </w:pPr>
            <w:r w:rsidRPr="004B7E9A">
              <w:rPr>
                <w:i/>
                <w:iCs/>
              </w:rPr>
              <w:tab/>
              <w:t>Skiriamos kompensacijos dydis asmeniui mažinamas tokia suma, kokia dėl to paties įvykio patirtai žalai kompensuoti iš Savivaldybės biudžeto buvo skirta pašalpa(-os).“</w:t>
            </w:r>
          </w:p>
        </w:tc>
        <w:tc>
          <w:tcPr>
            <w:tcW w:w="1296" w:type="dxa"/>
          </w:tcPr>
          <w:p w14:paraId="036B10A7" w14:textId="77777777" w:rsidR="0037500E" w:rsidRPr="002B3452" w:rsidRDefault="0037500E" w:rsidP="00187C33">
            <w:pPr>
              <w:widowControl w:val="0"/>
              <w:rPr>
                <w:snapToGrid w:val="0"/>
              </w:rPr>
            </w:pPr>
          </w:p>
        </w:tc>
      </w:tr>
      <w:tr w:rsidR="0037500E" w:rsidRPr="002B3452" w14:paraId="4FBF67F6" w14:textId="77777777" w:rsidTr="00F86BA6">
        <w:tc>
          <w:tcPr>
            <w:tcW w:w="2814" w:type="dxa"/>
          </w:tcPr>
          <w:p w14:paraId="1E2BAFAA" w14:textId="77777777" w:rsidR="0038784D" w:rsidRPr="003C217E" w:rsidRDefault="0038784D" w:rsidP="00DC08DA">
            <w:pPr>
              <w:jc w:val="both"/>
              <w:rPr>
                <w:noProof/>
              </w:rPr>
            </w:pPr>
            <w:r>
              <w:rPr>
                <w:noProof/>
              </w:rPr>
              <w:t>4</w:t>
            </w:r>
            <w:r w:rsidRPr="003C217E">
              <w:rPr>
                <w:noProof/>
              </w:rPr>
              <w:t xml:space="preserve">.1.1.3. </w:t>
            </w:r>
            <w:r w:rsidRPr="003D53C7">
              <w:rPr>
                <w:noProof/>
              </w:rPr>
              <w:t xml:space="preserve">Viešųjų pirkimų procedūrų finansavimas, kai tam galimai nėra tiesioginio poreikio ir/ar tai </w:t>
            </w:r>
            <w:r>
              <w:rPr>
                <w:noProof/>
              </w:rPr>
              <w:t xml:space="preserve">galimai prieštarauja </w:t>
            </w:r>
            <w:r w:rsidRPr="003D53C7">
              <w:rPr>
                <w:noProof/>
              </w:rPr>
              <w:t>galiojanči</w:t>
            </w:r>
            <w:r>
              <w:rPr>
                <w:noProof/>
              </w:rPr>
              <w:t>am</w:t>
            </w:r>
            <w:r w:rsidRPr="003D53C7">
              <w:rPr>
                <w:noProof/>
              </w:rPr>
              <w:t xml:space="preserve"> Savivaldybės teisini</w:t>
            </w:r>
            <w:r>
              <w:rPr>
                <w:noProof/>
              </w:rPr>
              <w:t>am</w:t>
            </w:r>
            <w:r w:rsidRPr="003D53C7">
              <w:rPr>
                <w:noProof/>
              </w:rPr>
              <w:t xml:space="preserve"> reglamentavimu</w:t>
            </w:r>
            <w:r>
              <w:rPr>
                <w:noProof/>
              </w:rPr>
              <w:t>i</w:t>
            </w:r>
            <w:r w:rsidRPr="003D53C7">
              <w:rPr>
                <w:noProof/>
              </w:rPr>
              <w:t xml:space="preserve">, sumažina galimybes Savivaldybei kompensuoti asmenų patirtus nuostolius, </w:t>
            </w:r>
            <w:r w:rsidRPr="003D53C7">
              <w:rPr>
                <w:noProof/>
              </w:rPr>
              <w:lastRenderedPageBreak/>
              <w:t xml:space="preserve">o tai iš esmės prieštarauja Rezervo lėšų tikslui </w:t>
            </w:r>
            <w:r>
              <w:rPr>
                <w:noProof/>
              </w:rPr>
              <w:t>–</w:t>
            </w:r>
            <w:r w:rsidRPr="003D53C7">
              <w:rPr>
                <w:noProof/>
              </w:rPr>
              <w:t xml:space="preserve"> ekstremalių situacijų, stichinių nelaimių ir dėl nepaprastosios padėties atsiradusioms išlaidoms iš dalies apmokėti ir (arba) jų padariniams šalinti. Taip pat, tokia praktika </w:t>
            </w:r>
            <w:r>
              <w:rPr>
                <w:noProof/>
              </w:rPr>
              <w:t>gali lemti</w:t>
            </w:r>
            <w:r w:rsidRPr="003D53C7">
              <w:rPr>
                <w:noProof/>
              </w:rPr>
              <w:t>, jog bus iškreiptas ekstremalios situacijos sampratos taikymas</w:t>
            </w:r>
            <w:r>
              <w:rPr>
                <w:noProof/>
              </w:rPr>
              <w:t xml:space="preserve">, gali kilti neteisėtų susitarimų, piktnaudžiavimo rizikos </w:t>
            </w:r>
            <w:r w:rsidRPr="003C217E">
              <w:rPr>
                <w:noProof/>
              </w:rPr>
              <w:t>(</w:t>
            </w:r>
            <w:r w:rsidRPr="005555ED">
              <w:rPr>
                <w:i/>
                <w:iCs/>
                <w:noProof/>
              </w:rPr>
              <w:t>motyvai nurodyti 3.4. skyriuje</w:t>
            </w:r>
            <w:r w:rsidRPr="003C217E">
              <w:rPr>
                <w:noProof/>
              </w:rPr>
              <w:t>).</w:t>
            </w:r>
          </w:p>
          <w:p w14:paraId="3C22B507" w14:textId="77777777" w:rsidR="0037500E" w:rsidRPr="002B3452" w:rsidRDefault="0037500E" w:rsidP="00DC08DA">
            <w:pPr>
              <w:widowControl w:val="0"/>
              <w:jc w:val="both"/>
              <w:rPr>
                <w:snapToGrid w:val="0"/>
              </w:rPr>
            </w:pPr>
          </w:p>
        </w:tc>
        <w:tc>
          <w:tcPr>
            <w:tcW w:w="2416" w:type="dxa"/>
          </w:tcPr>
          <w:p w14:paraId="740F08AB" w14:textId="77777777" w:rsidR="009B71D0" w:rsidRPr="005434D6" w:rsidRDefault="009B71D0" w:rsidP="00DC08DA">
            <w:pPr>
              <w:tabs>
                <w:tab w:val="left" w:pos="709"/>
                <w:tab w:val="left" w:pos="1134"/>
              </w:tabs>
              <w:jc w:val="both"/>
            </w:pPr>
            <w:r w:rsidRPr="005434D6">
              <w:rPr>
                <w:noProof/>
              </w:rPr>
              <w:lastRenderedPageBreak/>
              <w:t>5.1.3.1. Į</w:t>
            </w:r>
            <w:r w:rsidRPr="005434D6">
              <w:t xml:space="preserve">prasta tvarka, nenaudoti Rezervo lėšų ne pagal jų tiesioginę paskirtį ir poreikį, t. y. viešųjų pirkimų procedūrų finansavimui, kurios tiesiogiai neatlygina/nesumažina žalos padarinių, tačiau teikia finansinę naudą </w:t>
            </w:r>
            <w:r w:rsidRPr="005434D6">
              <w:lastRenderedPageBreak/>
              <w:t>privatiems asmenims, nebent teisiniame reglamentavime aiškiai numatant objektyviai išimtines situacijas (</w:t>
            </w:r>
            <w:r w:rsidRPr="005434D6">
              <w:rPr>
                <w:i/>
                <w:iCs/>
              </w:rPr>
              <w:t>kaip pavyzdžiui, pasaulinės COVID-19 pandemijos atveju ir kt.</w:t>
            </w:r>
            <w:r w:rsidRPr="005434D6">
              <w:t xml:space="preserve">) </w:t>
            </w:r>
            <w:r w:rsidRPr="005434D6">
              <w:rPr>
                <w:noProof/>
              </w:rPr>
              <w:t>(dėl 4.1.1.3. pastabos).</w:t>
            </w:r>
          </w:p>
          <w:p w14:paraId="7FCC816D" w14:textId="77777777" w:rsidR="009B71D0" w:rsidRPr="005434D6" w:rsidRDefault="009B71D0" w:rsidP="00DC08DA">
            <w:pPr>
              <w:tabs>
                <w:tab w:val="left" w:pos="709"/>
                <w:tab w:val="left" w:pos="1134"/>
              </w:tabs>
              <w:jc w:val="both"/>
              <w:rPr>
                <w:noProof/>
              </w:rPr>
            </w:pPr>
            <w:r w:rsidRPr="005434D6">
              <w:rPr>
                <w:noProof/>
              </w:rPr>
              <w:t xml:space="preserve">5.1.3.2. </w:t>
            </w:r>
            <w:r w:rsidRPr="005434D6">
              <w:t xml:space="preserve">Panaikinti nepagrįstą skirtį tarp gaisro ir kitų stichinių nelaimių atvejų – visais atvejais žalos vertinimo paslaugos turėtų būti organizuojamos pareiškėjų, o savivaldybė galėtų kompensuoti tik patirtas išlaidas pagal pateiktus dokumentus, jau tenkinus pareiškėjų prašymą ir esant objektyvioms aplinkybėms </w:t>
            </w:r>
            <w:r w:rsidRPr="005434D6">
              <w:rPr>
                <w:noProof/>
              </w:rPr>
              <w:t>(dėl 4.1.1.3. pastabos).</w:t>
            </w:r>
          </w:p>
          <w:p w14:paraId="1A879866" w14:textId="77777777" w:rsidR="0037500E" w:rsidRPr="005434D6" w:rsidRDefault="0037500E" w:rsidP="00DC08DA">
            <w:pPr>
              <w:widowControl w:val="0"/>
              <w:jc w:val="both"/>
              <w:rPr>
                <w:snapToGrid w:val="0"/>
              </w:rPr>
            </w:pPr>
          </w:p>
        </w:tc>
        <w:tc>
          <w:tcPr>
            <w:tcW w:w="7750" w:type="dxa"/>
          </w:tcPr>
          <w:p w14:paraId="3552B61B" w14:textId="4291279C" w:rsidR="005F45F6" w:rsidRDefault="004B7E9A" w:rsidP="00DC08DA">
            <w:pPr>
              <w:jc w:val="both"/>
            </w:pPr>
            <w:r w:rsidRPr="005204AD">
              <w:lastRenderedPageBreak/>
              <w:t>Į pateiktas pastabas ir pasiūlymus atsižvelgta</w:t>
            </w:r>
            <w:r w:rsidR="00AA74AB">
              <w:t>,</w:t>
            </w:r>
            <w:r w:rsidRPr="005204AD">
              <w:t xml:space="preserve"> </w:t>
            </w:r>
            <w:r w:rsidR="00AA74AB">
              <w:t>T</w:t>
            </w:r>
            <w:r w:rsidRPr="005204AD">
              <w:t>varkos aprašo</w:t>
            </w:r>
            <w:r>
              <w:t xml:space="preserve"> </w:t>
            </w:r>
            <w:r w:rsidR="005F45F6">
              <w:t>19  punkt</w:t>
            </w:r>
            <w:r w:rsidR="00AA74AB">
              <w:t>as</w:t>
            </w:r>
            <w:r w:rsidR="005F45F6">
              <w:t xml:space="preserve">. </w:t>
            </w:r>
          </w:p>
          <w:p w14:paraId="4CAD338A" w14:textId="7EBE20A9" w:rsidR="004B7E9A" w:rsidRPr="004B7E9A" w:rsidRDefault="004B7E9A" w:rsidP="00DC08DA">
            <w:pPr>
              <w:tabs>
                <w:tab w:val="left" w:pos="0"/>
              </w:tabs>
              <w:suppressAutoHyphens/>
              <w:spacing w:line="276" w:lineRule="auto"/>
              <w:ind w:firstLine="720"/>
              <w:jc w:val="both"/>
              <w:rPr>
                <w:i/>
                <w:iCs/>
              </w:rPr>
            </w:pPr>
            <w:r w:rsidRPr="004B7E9A">
              <w:rPr>
                <w:i/>
                <w:iCs/>
              </w:rPr>
              <w:t>„19. Nepriklausomų turto vertintojų arba žalų ekspertų paslaugos pirkimą organizuoja žalą patyręs asmuo, o patirtos išlaidos dengiamos iki 99 procentų iš Rezervo lėšų.“</w:t>
            </w:r>
          </w:p>
          <w:p w14:paraId="2D5139E8" w14:textId="77777777" w:rsidR="004B7E9A" w:rsidRDefault="004B7E9A" w:rsidP="00DC08DA">
            <w:pPr>
              <w:jc w:val="both"/>
            </w:pPr>
          </w:p>
          <w:p w14:paraId="5EEE4623" w14:textId="77777777" w:rsidR="0037500E" w:rsidRPr="002B3452" w:rsidRDefault="0037500E" w:rsidP="00DC08DA">
            <w:pPr>
              <w:widowControl w:val="0"/>
              <w:jc w:val="both"/>
              <w:rPr>
                <w:snapToGrid w:val="0"/>
              </w:rPr>
            </w:pPr>
          </w:p>
        </w:tc>
        <w:tc>
          <w:tcPr>
            <w:tcW w:w="1296" w:type="dxa"/>
          </w:tcPr>
          <w:p w14:paraId="760598AF" w14:textId="77777777" w:rsidR="0037500E" w:rsidRPr="002B3452" w:rsidRDefault="0037500E" w:rsidP="00187C33">
            <w:pPr>
              <w:widowControl w:val="0"/>
              <w:rPr>
                <w:snapToGrid w:val="0"/>
              </w:rPr>
            </w:pPr>
          </w:p>
        </w:tc>
      </w:tr>
      <w:tr w:rsidR="0038784D" w:rsidRPr="002B3452" w14:paraId="64BBCB50" w14:textId="77777777" w:rsidTr="00F86BA6">
        <w:tc>
          <w:tcPr>
            <w:tcW w:w="2814" w:type="dxa"/>
          </w:tcPr>
          <w:p w14:paraId="239EF43A" w14:textId="54E8A97A" w:rsidR="0038784D" w:rsidRDefault="0038784D" w:rsidP="00DC08DA">
            <w:pPr>
              <w:jc w:val="both"/>
              <w:rPr>
                <w:noProof/>
              </w:rPr>
            </w:pPr>
            <w:r>
              <w:rPr>
                <w:noProof/>
              </w:rPr>
              <w:t>4</w:t>
            </w:r>
            <w:r w:rsidRPr="003078D3">
              <w:rPr>
                <w:noProof/>
              </w:rPr>
              <w:t>.1.1.</w:t>
            </w:r>
            <w:r>
              <w:rPr>
                <w:noProof/>
              </w:rPr>
              <w:t>4</w:t>
            </w:r>
            <w:r w:rsidRPr="003078D3">
              <w:rPr>
                <w:noProof/>
              </w:rPr>
              <w:t xml:space="preserve">. </w:t>
            </w:r>
            <w:r w:rsidRPr="00E62601">
              <w:rPr>
                <w:noProof/>
              </w:rPr>
              <w:t xml:space="preserve">Savivaldybių Rezervo lėšų skyrimo tvarka nėra aiškiai reglamentuota ir suteikia </w:t>
            </w:r>
            <w:r w:rsidRPr="00E62601">
              <w:rPr>
                <w:noProof/>
              </w:rPr>
              <w:lastRenderedPageBreak/>
              <w:t>merui plačią diskreciją net tais atvejais, kai jo sprendimas nesutampa su komisijos siūlymu. Toks neapibrėžtumas kelia korupcijos pasireiškimo tikimybę, sudaro prielaidas selektyviems, nemotyvuotiems sprendimams, apsunkina jų kontrolę ir apskundimą</w:t>
            </w:r>
            <w:r w:rsidRPr="00481E28">
              <w:rPr>
                <w:noProof/>
              </w:rPr>
              <w:t xml:space="preserve"> (</w:t>
            </w:r>
            <w:r w:rsidRPr="005555ED">
              <w:rPr>
                <w:i/>
                <w:iCs/>
                <w:noProof/>
              </w:rPr>
              <w:t>motyvai nurodyti 3.7. skyriuje</w:t>
            </w:r>
            <w:r w:rsidRPr="00481E28">
              <w:rPr>
                <w:noProof/>
              </w:rPr>
              <w:t>).</w:t>
            </w:r>
          </w:p>
        </w:tc>
        <w:tc>
          <w:tcPr>
            <w:tcW w:w="2416" w:type="dxa"/>
          </w:tcPr>
          <w:p w14:paraId="45141CDE" w14:textId="77777777" w:rsidR="009B71D0" w:rsidRPr="005434D6" w:rsidRDefault="009B71D0" w:rsidP="00DC08DA">
            <w:pPr>
              <w:tabs>
                <w:tab w:val="left" w:pos="709"/>
                <w:tab w:val="left" w:pos="1134"/>
              </w:tabs>
              <w:jc w:val="both"/>
              <w:rPr>
                <w:noProof/>
              </w:rPr>
            </w:pPr>
            <w:r w:rsidRPr="005434D6">
              <w:rPr>
                <w:noProof/>
              </w:rPr>
              <w:lastRenderedPageBreak/>
              <w:t xml:space="preserve">5.1.2.5. Aiškiai apibrėžti mero, kaip galutinio sprendimų priėmėjo įgaliojimų </w:t>
            </w:r>
            <w:r w:rsidRPr="005434D6">
              <w:rPr>
                <w:noProof/>
              </w:rPr>
              <w:lastRenderedPageBreak/>
              <w:t>ribas, taip pat atsakingos komisijos ar subjekto siūlymo įtaką mero sprendimui, t. y. jų teisinę galią ir statusą (dėl 4.1.1.4. pastabos).</w:t>
            </w:r>
          </w:p>
          <w:p w14:paraId="2FA44F5C" w14:textId="77777777" w:rsidR="009B71D0" w:rsidRPr="005434D6" w:rsidRDefault="009B71D0" w:rsidP="00DC08DA">
            <w:pPr>
              <w:tabs>
                <w:tab w:val="left" w:pos="709"/>
                <w:tab w:val="left" w:pos="1134"/>
              </w:tabs>
              <w:jc w:val="both"/>
              <w:rPr>
                <w:noProof/>
              </w:rPr>
            </w:pPr>
            <w:r w:rsidRPr="005434D6">
              <w:rPr>
                <w:noProof/>
              </w:rPr>
              <w:t>5.1.2.6. Numatyti procedūrą kaip elgiamasi, jei meras nesutinka su komisijos siūlymu (pavyzdžiui, atvejo grąžinimas svarstymui iš naujo, motyvuotas vienašališkas sprendimo pakeitimas ir kt.) (dėl 4.1.1.4. pastabos).</w:t>
            </w:r>
          </w:p>
          <w:p w14:paraId="240C162F" w14:textId="77777777" w:rsidR="0038784D" w:rsidRPr="005434D6" w:rsidRDefault="0038784D" w:rsidP="00DC08DA">
            <w:pPr>
              <w:widowControl w:val="0"/>
              <w:jc w:val="both"/>
              <w:rPr>
                <w:snapToGrid w:val="0"/>
              </w:rPr>
            </w:pPr>
          </w:p>
        </w:tc>
        <w:tc>
          <w:tcPr>
            <w:tcW w:w="7750" w:type="dxa"/>
          </w:tcPr>
          <w:p w14:paraId="3D7026DB" w14:textId="040D1BCE" w:rsidR="0038784D" w:rsidRDefault="004B7E9A" w:rsidP="00DC08DA">
            <w:pPr>
              <w:jc w:val="both"/>
            </w:pPr>
            <w:r w:rsidRPr="005204AD">
              <w:lastRenderedPageBreak/>
              <w:t>Į pateiktas pastabas ir pasiūlymus atsižvelgta</w:t>
            </w:r>
            <w:r w:rsidR="00AA74AB">
              <w:t xml:space="preserve">, </w:t>
            </w:r>
            <w:r w:rsidRPr="005204AD">
              <w:t xml:space="preserve"> </w:t>
            </w:r>
            <w:r w:rsidR="00AA74AB">
              <w:t>T</w:t>
            </w:r>
            <w:r w:rsidRPr="005204AD">
              <w:t>varkos aprašo</w:t>
            </w:r>
            <w:r>
              <w:t xml:space="preserve"> </w:t>
            </w:r>
            <w:r w:rsidR="005F45F6">
              <w:t>24, 31 ir 36 punkt</w:t>
            </w:r>
            <w:r w:rsidR="00AA74AB">
              <w:t>ai</w:t>
            </w:r>
            <w:r w:rsidR="005F45F6">
              <w:t xml:space="preserve">. </w:t>
            </w:r>
          </w:p>
          <w:p w14:paraId="3ED51A82" w14:textId="4E9F287B" w:rsidR="004B7E9A" w:rsidRPr="004B7E9A" w:rsidRDefault="004B7E9A" w:rsidP="00DC08DA">
            <w:pPr>
              <w:tabs>
                <w:tab w:val="left" w:pos="0"/>
              </w:tabs>
              <w:suppressAutoHyphens/>
              <w:spacing w:line="276" w:lineRule="auto"/>
              <w:ind w:firstLine="720"/>
              <w:jc w:val="both"/>
              <w:rPr>
                <w:i/>
                <w:iCs/>
                <w:kern w:val="1"/>
                <w:lang w:eastAsia="ar-SA"/>
              </w:rPr>
            </w:pPr>
            <w:r w:rsidRPr="004B7E9A">
              <w:rPr>
                <w:i/>
                <w:iCs/>
                <w:kern w:val="1"/>
                <w:lang w:eastAsia="ar-SA"/>
              </w:rPr>
              <w:t xml:space="preserve">„24. Galutinį sprendimą priima meras per 5 darbo dienas, atsižvelgdamas į Darbo grupės parengtą motyvuotą siūlymą. </w:t>
            </w:r>
            <w:r w:rsidRPr="004B7E9A">
              <w:rPr>
                <w:i/>
                <w:iCs/>
                <w:lang w:eastAsia="zh-CN"/>
              </w:rPr>
              <w:t xml:space="preserve">Savivaldybės </w:t>
            </w:r>
            <w:r w:rsidRPr="004B7E9A">
              <w:rPr>
                <w:i/>
                <w:iCs/>
                <w:lang w:eastAsia="zh-CN"/>
              </w:rPr>
              <w:lastRenderedPageBreak/>
              <w:t>mero</w:t>
            </w:r>
            <w:r w:rsidRPr="004B7E9A">
              <w:rPr>
                <w:i/>
                <w:iCs/>
                <w:kern w:val="1"/>
                <w:lang w:eastAsia="ar-SA"/>
              </w:rPr>
              <w:t xml:space="preserve"> potvarkių projektus dėl lėšų skyrimo/neskyrimo iš Rezervo rengia Savivaldybės administracijos Finansų skyrius gavęs Darbo grupės parengtą motyvuotą siūlymą esant Savivaldybės mero rezoliucijai.</w:t>
            </w:r>
          </w:p>
          <w:p w14:paraId="740FC583" w14:textId="561B73F9" w:rsidR="004B7E9A" w:rsidRPr="004B7E9A" w:rsidRDefault="004B7E9A" w:rsidP="00DC08DA">
            <w:pPr>
              <w:tabs>
                <w:tab w:val="left" w:pos="0"/>
                <w:tab w:val="left" w:pos="709"/>
              </w:tabs>
              <w:suppressAutoHyphens/>
              <w:spacing w:line="276" w:lineRule="auto"/>
              <w:jc w:val="both"/>
              <w:rPr>
                <w:i/>
                <w:iCs/>
                <w:lang w:eastAsia="zh-CN"/>
              </w:rPr>
            </w:pPr>
            <w:r w:rsidRPr="004B7E9A">
              <w:rPr>
                <w:i/>
                <w:iCs/>
                <w:lang w:eastAsia="zh-CN"/>
              </w:rPr>
              <w:t xml:space="preserve">            31. Rezervo lėšų panaudojimo išankstinę ir einamąją finansų kontrolę vykdo, finansinę  apskaitą tvarko </w:t>
            </w:r>
            <w:r w:rsidRPr="004B7E9A">
              <w:rPr>
                <w:i/>
                <w:iCs/>
                <w:kern w:val="1"/>
                <w:lang w:eastAsia="ar-SA"/>
              </w:rPr>
              <w:t>Apskaitos skyrius</w:t>
            </w:r>
            <w:r w:rsidRPr="004B7E9A">
              <w:rPr>
                <w:i/>
                <w:iCs/>
                <w:lang w:eastAsia="zh-CN"/>
              </w:rPr>
              <w:t xml:space="preserve">. Už finansinę kontrolę atsako Apskaitos skyrius vedėjas. </w:t>
            </w:r>
          </w:p>
          <w:p w14:paraId="30AED3B2" w14:textId="05347BC5" w:rsidR="004B7E9A" w:rsidRPr="004B7E9A" w:rsidRDefault="004B7E9A" w:rsidP="00DC08DA">
            <w:pPr>
              <w:tabs>
                <w:tab w:val="left" w:pos="0"/>
              </w:tabs>
              <w:suppressAutoHyphens/>
              <w:spacing w:line="276" w:lineRule="auto"/>
              <w:ind w:firstLine="720"/>
              <w:jc w:val="both"/>
              <w:rPr>
                <w:i/>
                <w:iCs/>
              </w:rPr>
            </w:pPr>
            <w:r w:rsidRPr="004B7E9A">
              <w:rPr>
                <w:i/>
                <w:iCs/>
                <w:lang w:eastAsia="zh-CN"/>
              </w:rPr>
              <w:t>36. Rezervo lėšų panaudojimo kontrolė vykdoma teisės aktų nustatyta tvarka.“</w:t>
            </w:r>
          </w:p>
          <w:p w14:paraId="1EFEFC0F" w14:textId="313328C0" w:rsidR="00071679" w:rsidRDefault="00071679" w:rsidP="00071679">
            <w:pPr>
              <w:jc w:val="both"/>
            </w:pPr>
            <w:r>
              <w:t xml:space="preserve">Atsižvelgiant į Lietuvos Respublikos specialiųjų tyrimų tarnybos 2026 m. sausio 5 d. rašte Nr. 4-01-33 „Dėl korupcijos rizikos analizės išvadoje pateiktų pasiūlymų įgyvendinimo“ pateiktus pasiūlymus, </w:t>
            </w:r>
            <w:r>
              <w:rPr>
                <w:rStyle w:val="whitespace-normal"/>
              </w:rPr>
              <w:t>Šiaulių rajono savivaldybės taryba</w:t>
            </w:r>
            <w:r>
              <w:t xml:space="preserve"> 2026 m. birželio 2 d. sprendimu Nr. T-94 „Dėl Šiaulių rajono savivaldybės tarybos 2025 m. rugsėjo 9 d. sprendimo Nr. T-205 „Dėl Šiaulių rajono savivaldybės mero rezervo lėšų naudojimo tvarkos aprašo patvirtinimo“ pakeitimo“ pakei</w:t>
            </w:r>
            <w:r w:rsidR="00E31624">
              <w:t>stas</w:t>
            </w:r>
            <w:r>
              <w:t xml:space="preserve"> </w:t>
            </w:r>
            <w:r>
              <w:t>T</w:t>
            </w:r>
            <w:r>
              <w:t>varkos apraš</w:t>
            </w:r>
            <w:r w:rsidR="00E31624">
              <w:t>as</w:t>
            </w:r>
            <w:r>
              <w:t>. Į pateiktus pasiūlymus buvo atsižvelgta – atitinkamai patikslintas 22 punktas.</w:t>
            </w:r>
          </w:p>
          <w:p w14:paraId="37188239" w14:textId="77777777" w:rsidR="00071679" w:rsidRDefault="00071679" w:rsidP="00071679">
            <w:pPr>
              <w:jc w:val="both"/>
              <w:rPr>
                <w:i/>
                <w:iCs/>
              </w:rPr>
            </w:pPr>
          </w:p>
          <w:p w14:paraId="6CD4C27C" w14:textId="77777777" w:rsidR="004B7E9A" w:rsidRDefault="00071679" w:rsidP="00071679">
            <w:pPr>
              <w:ind w:firstLine="615"/>
              <w:jc w:val="both"/>
              <w:rPr>
                <w:i/>
                <w:iCs/>
              </w:rPr>
            </w:pPr>
            <w:r>
              <w:rPr>
                <w:i/>
                <w:iCs/>
              </w:rPr>
              <w:t>„</w:t>
            </w:r>
            <w:r w:rsidRPr="00612285">
              <w:rPr>
                <w:i/>
                <w:iCs/>
              </w:rPr>
              <w:t>22. Darbo grupė per 20 darbo dienų nuo visų reikalingų dokumentų gavimo dienos išnagrinėja pateiktą prašymą bei gautus dokumentus, parengia ir teikia Savivaldybės merui Darbo grupės parengtą motyvuotą siūlymą dėl lėšų skyrimo / neskyrimo iš Rezervo. Jei Savivaldybės meras nesutinka su darbo grupės motyvuotu siūlymu, atvejis yra grąžinamas darbo grupei nagrinėti iš naujo, nurodant priežastis ar nesutikimo motyvus.</w:t>
            </w:r>
            <w:r>
              <w:rPr>
                <w:i/>
                <w:iCs/>
              </w:rPr>
              <w:t>“</w:t>
            </w:r>
          </w:p>
          <w:p w14:paraId="7EBBDCFE" w14:textId="45A2406A" w:rsidR="00071679" w:rsidRPr="005F45F6" w:rsidRDefault="00071679" w:rsidP="00071679">
            <w:pPr>
              <w:ind w:firstLine="615"/>
              <w:jc w:val="both"/>
            </w:pPr>
          </w:p>
        </w:tc>
        <w:tc>
          <w:tcPr>
            <w:tcW w:w="1296" w:type="dxa"/>
          </w:tcPr>
          <w:p w14:paraId="0819E6E6" w14:textId="77777777" w:rsidR="0038784D" w:rsidRPr="002B3452" w:rsidRDefault="0038784D" w:rsidP="00187C33">
            <w:pPr>
              <w:widowControl w:val="0"/>
              <w:rPr>
                <w:snapToGrid w:val="0"/>
              </w:rPr>
            </w:pPr>
          </w:p>
        </w:tc>
      </w:tr>
      <w:tr w:rsidR="0037500E" w:rsidRPr="002B3452" w14:paraId="22959D72" w14:textId="77777777" w:rsidTr="0038784D">
        <w:tc>
          <w:tcPr>
            <w:tcW w:w="14276" w:type="dxa"/>
            <w:gridSpan w:val="4"/>
          </w:tcPr>
          <w:p w14:paraId="7D0421E7" w14:textId="77777777" w:rsidR="0037500E" w:rsidRPr="008F1D8D" w:rsidRDefault="0037500E" w:rsidP="009B71D0">
            <w:pPr>
              <w:pStyle w:val="Sraopastraipa"/>
              <w:widowControl w:val="0"/>
              <w:numPr>
                <w:ilvl w:val="0"/>
                <w:numId w:val="1"/>
              </w:numPr>
              <w:jc w:val="center"/>
              <w:rPr>
                <w:i/>
                <w:snapToGrid w:val="0"/>
              </w:rPr>
            </w:pPr>
            <w:r w:rsidRPr="008F1D8D">
              <w:rPr>
                <w:i/>
                <w:snapToGrid w:val="0"/>
              </w:rPr>
              <w:t>Kitos antikorupcinės pastabos</w:t>
            </w:r>
          </w:p>
        </w:tc>
      </w:tr>
      <w:tr w:rsidR="0037500E" w:rsidRPr="002B3452" w14:paraId="5F7D1D8A" w14:textId="77777777" w:rsidTr="00F86BA6">
        <w:tc>
          <w:tcPr>
            <w:tcW w:w="2814" w:type="dxa"/>
          </w:tcPr>
          <w:p w14:paraId="60C5E213" w14:textId="36694A9C" w:rsidR="0037500E" w:rsidRPr="0038784D" w:rsidRDefault="0038784D" w:rsidP="00DC08DA">
            <w:pPr>
              <w:jc w:val="both"/>
              <w:rPr>
                <w:noProof/>
              </w:rPr>
            </w:pPr>
            <w:r>
              <w:rPr>
                <w:noProof/>
              </w:rPr>
              <w:t>4</w:t>
            </w:r>
            <w:r w:rsidRPr="003C217E">
              <w:rPr>
                <w:noProof/>
              </w:rPr>
              <w:t>.1.2.1.</w:t>
            </w:r>
            <w:r>
              <w:rPr>
                <w:noProof/>
              </w:rPr>
              <w:t xml:space="preserve"> </w:t>
            </w:r>
            <w:r w:rsidRPr="00BD6F9A">
              <w:rPr>
                <w:noProof/>
              </w:rPr>
              <w:t xml:space="preserve">Reikalavimų ir kriterijų nebuvimas atsakingų komisijų nariams kelia korupcijos riziką, kadangi gali paskatinti selektyvų komisijos narių paskyrimą, kai sprendimus priima </w:t>
            </w:r>
            <w:r w:rsidRPr="00BD6F9A">
              <w:rPr>
                <w:noProof/>
              </w:rPr>
              <w:lastRenderedPageBreak/>
              <w:t>asmenys, neturintys reikiamų žinių arba turi asmeninių interesų, kurie gali paveikti objektyvumą ir sprendimų skaidrumą</w:t>
            </w:r>
            <w:r w:rsidRPr="00BD6F9A">
              <w:rPr>
                <w:rFonts w:eastAsiaTheme="minorHAnsi"/>
                <w:noProof/>
              </w:rPr>
              <w:t xml:space="preserve"> </w:t>
            </w:r>
            <w:r w:rsidRPr="003C217E">
              <w:rPr>
                <w:noProof/>
              </w:rPr>
              <w:t>(</w:t>
            </w:r>
            <w:r w:rsidRPr="005555ED">
              <w:rPr>
                <w:i/>
                <w:iCs/>
                <w:noProof/>
              </w:rPr>
              <w:t>motyvai nurodyti 3.2. skyriuje</w:t>
            </w:r>
            <w:r w:rsidRPr="003C217E">
              <w:rPr>
                <w:noProof/>
              </w:rPr>
              <w:t>)</w:t>
            </w:r>
            <w:r w:rsidRPr="003C217E">
              <w:rPr>
                <w:rFonts w:eastAsiaTheme="minorHAnsi"/>
                <w:noProof/>
              </w:rPr>
              <w:t>.</w:t>
            </w:r>
          </w:p>
        </w:tc>
        <w:tc>
          <w:tcPr>
            <w:tcW w:w="2416" w:type="dxa"/>
          </w:tcPr>
          <w:p w14:paraId="7186905A" w14:textId="77777777" w:rsidR="009B71D0" w:rsidRPr="005434D6" w:rsidRDefault="009B71D0" w:rsidP="00DC08DA">
            <w:pPr>
              <w:tabs>
                <w:tab w:val="left" w:pos="709"/>
                <w:tab w:val="left" w:pos="1134"/>
              </w:tabs>
              <w:jc w:val="both"/>
              <w:rPr>
                <w:noProof/>
              </w:rPr>
            </w:pPr>
            <w:r w:rsidRPr="005434D6">
              <w:rPr>
                <w:noProof/>
              </w:rPr>
              <w:lastRenderedPageBreak/>
              <w:t>5.1.4.1. Atsisakyti praktikos, jog pareiškėjų prašymus nagrinėja atsakingas skyrius, o ne sudaryta komisija (dėl 4.1.2.1. pastabos).</w:t>
            </w:r>
          </w:p>
          <w:p w14:paraId="525CCB19" w14:textId="77777777" w:rsidR="009B71D0" w:rsidRPr="005434D6" w:rsidRDefault="009B71D0" w:rsidP="00DC08DA">
            <w:pPr>
              <w:tabs>
                <w:tab w:val="left" w:pos="709"/>
                <w:tab w:val="left" w:pos="1134"/>
              </w:tabs>
              <w:jc w:val="both"/>
              <w:rPr>
                <w:noProof/>
              </w:rPr>
            </w:pPr>
            <w:r w:rsidRPr="005434D6">
              <w:rPr>
                <w:noProof/>
              </w:rPr>
              <w:lastRenderedPageBreak/>
              <w:t>5.1.4.2. Tikslinti Savivaldybių komisijų sudarymo tvarką, nustatant kokius kriterijus ar reikalavimus (pavyzdžiui, išsilavinimas, einamos pareigos, patirtis ir kt.) turi atitikti kiekvienas į komisiją skiriamas narys (dėl 4.1.2.1. pastabos).</w:t>
            </w:r>
          </w:p>
          <w:p w14:paraId="227ECD91" w14:textId="77777777" w:rsidR="0037500E" w:rsidRPr="002B3452" w:rsidRDefault="0037500E" w:rsidP="00DC08DA">
            <w:pPr>
              <w:widowControl w:val="0"/>
              <w:jc w:val="both"/>
              <w:rPr>
                <w:snapToGrid w:val="0"/>
              </w:rPr>
            </w:pPr>
          </w:p>
        </w:tc>
        <w:tc>
          <w:tcPr>
            <w:tcW w:w="7750" w:type="dxa"/>
          </w:tcPr>
          <w:p w14:paraId="2A94106E" w14:textId="3694715B" w:rsidR="00840185" w:rsidRDefault="004B7E9A" w:rsidP="004B7E9A">
            <w:pPr>
              <w:widowControl w:val="0"/>
              <w:jc w:val="both"/>
            </w:pPr>
            <w:r w:rsidRPr="005204AD">
              <w:lastRenderedPageBreak/>
              <w:t>Į pateiktas pastabas ir pasiūlymus atsižvelgta</w:t>
            </w:r>
            <w:r w:rsidR="00EE4B51">
              <w:t>,</w:t>
            </w:r>
            <w:r w:rsidRPr="005204AD">
              <w:t xml:space="preserve"> </w:t>
            </w:r>
            <w:r w:rsidR="00EE4B51">
              <w:t>T</w:t>
            </w:r>
            <w:r w:rsidRPr="005204AD">
              <w:t>varkos aprašo</w:t>
            </w:r>
            <w:r>
              <w:t xml:space="preserve"> </w:t>
            </w:r>
            <w:r w:rsidR="005F45F6">
              <w:t>21 punkt</w:t>
            </w:r>
            <w:r w:rsidR="00EE4B51">
              <w:t>as</w:t>
            </w:r>
            <w:r w:rsidR="005F45F6">
              <w:t>.</w:t>
            </w:r>
          </w:p>
          <w:p w14:paraId="75A10545" w14:textId="4B11A68E" w:rsidR="004D1D22" w:rsidRPr="004D1D22" w:rsidRDefault="004D1D22" w:rsidP="004B7E9A">
            <w:pPr>
              <w:widowControl w:val="0"/>
              <w:jc w:val="both"/>
              <w:rPr>
                <w:i/>
                <w:iCs/>
                <w:snapToGrid w:val="0"/>
              </w:rPr>
            </w:pPr>
            <w:r w:rsidRPr="004D1D22">
              <w:rPr>
                <w:i/>
                <w:iCs/>
                <w:lang w:eastAsia="zh-CN"/>
              </w:rPr>
              <w:t xml:space="preserve">             „21. Darbo grupės sudėtį, darbo organizavimo tvarką, teises ir pareigas ir kt. reglamentuoja Darbo grupės darbo reglamentas, patvirtintas Savivaldybės mero potvarkiu. Darbo grupei </w:t>
            </w:r>
            <w:r w:rsidRPr="004D1D22">
              <w:rPr>
                <w:i/>
                <w:iCs/>
              </w:rPr>
              <w:t xml:space="preserve">vadovauja Darbo grupės pirmininkas – Savivaldybės vicemeras. Darbo grupė </w:t>
            </w:r>
            <w:r w:rsidRPr="004D1D22">
              <w:rPr>
                <w:i/>
                <w:iCs/>
                <w:lang w:eastAsia="zh-CN"/>
              </w:rPr>
              <w:t xml:space="preserve">sudaroma ne mažiau kaip iš 5 narių, jais gali būti Savivaldybės administracijos valstybės tarnautojai ir darbuotojai, dirbantys pagal darbo sutartį, turintys kompetencijų, susijusių su turto valdymu, finansų planavimu, socialine parama, civiline sauga, teise ir </w:t>
            </w:r>
            <w:r w:rsidRPr="004D1D22">
              <w:rPr>
                <w:i/>
                <w:iCs/>
                <w:lang w:eastAsia="zh-CN"/>
              </w:rPr>
              <w:lastRenderedPageBreak/>
              <w:t>seniūnijos seniūnas, iš kurios teritorijos pateiktas prašymas.“</w:t>
            </w:r>
          </w:p>
        </w:tc>
        <w:tc>
          <w:tcPr>
            <w:tcW w:w="1296" w:type="dxa"/>
          </w:tcPr>
          <w:p w14:paraId="3D5420DA" w14:textId="529CE32C" w:rsidR="0037500E" w:rsidRPr="002B3452" w:rsidRDefault="004D1D22" w:rsidP="00187C33">
            <w:pPr>
              <w:widowControl w:val="0"/>
              <w:rPr>
                <w:snapToGrid w:val="0"/>
              </w:rPr>
            </w:pPr>
            <w:r>
              <w:rPr>
                <w:snapToGrid w:val="0"/>
              </w:rPr>
              <w:lastRenderedPageBreak/>
              <w:t xml:space="preserve">    </w:t>
            </w:r>
          </w:p>
        </w:tc>
      </w:tr>
      <w:tr w:rsidR="0038784D" w:rsidRPr="002B3452" w14:paraId="57708129" w14:textId="77777777" w:rsidTr="00F86BA6">
        <w:tc>
          <w:tcPr>
            <w:tcW w:w="2814" w:type="dxa"/>
          </w:tcPr>
          <w:p w14:paraId="7EC33D4F" w14:textId="10D3B8D1" w:rsidR="0038784D" w:rsidRPr="0038784D" w:rsidRDefault="0038784D" w:rsidP="00DC08DA">
            <w:pPr>
              <w:jc w:val="both"/>
              <w:rPr>
                <w:rFonts w:eastAsiaTheme="minorHAnsi"/>
                <w:noProof/>
              </w:rPr>
            </w:pPr>
            <w:r>
              <w:rPr>
                <w:noProof/>
              </w:rPr>
              <w:t>4.1.2.3</w:t>
            </w:r>
            <w:r w:rsidRPr="003C217E">
              <w:rPr>
                <w:noProof/>
              </w:rPr>
              <w:t>.</w:t>
            </w:r>
            <w:r>
              <w:rPr>
                <w:noProof/>
              </w:rPr>
              <w:t xml:space="preserve"> </w:t>
            </w:r>
            <w:r w:rsidRPr="00E62601">
              <w:rPr>
                <w:rFonts w:eastAsiaTheme="minorHAnsi"/>
                <w:noProof/>
              </w:rPr>
              <w:t>Savivaldybių interneto svetainėse neviešinama išsami ir aiški informacija apie mero rezervo lėšų skirstymą, nors teisės aktai numato pareigą užtikrinti savivaldybės veiklos skaidrumą ir informacijos viešumą. Tai sudaro prielaidas galimam piktnaudžiavimui, interesų protegavimui, o visuomenė negali</w:t>
            </w:r>
            <w:r>
              <w:rPr>
                <w:rFonts w:eastAsiaTheme="minorHAnsi"/>
                <w:noProof/>
              </w:rPr>
              <w:t xml:space="preserve"> tinkamai</w:t>
            </w:r>
            <w:r w:rsidRPr="00E62601">
              <w:rPr>
                <w:rFonts w:eastAsiaTheme="minorHAnsi"/>
                <w:noProof/>
              </w:rPr>
              <w:t xml:space="preserve"> susipažinti su sprendimais dėl Rezervo lėšų paskirstymo</w:t>
            </w:r>
            <w:r>
              <w:rPr>
                <w:rFonts w:eastAsiaTheme="minorHAnsi"/>
                <w:noProof/>
              </w:rPr>
              <w:t xml:space="preserve"> </w:t>
            </w:r>
            <w:r w:rsidRPr="003C217E">
              <w:rPr>
                <w:noProof/>
              </w:rPr>
              <w:t>(</w:t>
            </w:r>
            <w:r w:rsidRPr="005555ED">
              <w:rPr>
                <w:i/>
                <w:iCs/>
                <w:noProof/>
              </w:rPr>
              <w:t>motyvai nurodyti 3.6. skyriuje</w:t>
            </w:r>
            <w:r w:rsidRPr="003C217E">
              <w:rPr>
                <w:noProof/>
              </w:rPr>
              <w:t>)</w:t>
            </w:r>
            <w:r w:rsidRPr="003C217E">
              <w:rPr>
                <w:rFonts w:eastAsiaTheme="minorHAnsi"/>
                <w:noProof/>
              </w:rPr>
              <w:t>.</w:t>
            </w:r>
          </w:p>
        </w:tc>
        <w:tc>
          <w:tcPr>
            <w:tcW w:w="2416" w:type="dxa"/>
          </w:tcPr>
          <w:p w14:paraId="3C6A7547" w14:textId="77777777" w:rsidR="009B71D0" w:rsidRPr="005434D6" w:rsidRDefault="009B71D0" w:rsidP="00DC08DA">
            <w:pPr>
              <w:tabs>
                <w:tab w:val="left" w:pos="709"/>
                <w:tab w:val="left" w:pos="1134"/>
              </w:tabs>
              <w:jc w:val="both"/>
              <w:rPr>
                <w:noProof/>
              </w:rPr>
            </w:pPr>
            <w:r w:rsidRPr="005434D6">
              <w:rPr>
                <w:noProof/>
              </w:rPr>
              <w:t>5.1.5.1. Teisiniame reglamentavime įtvirtinti Rezervo lėšų panaudojimo viešinimo tvarką (pavyzdžiui, numatant pareiškėjo nuasmenintus duomenis, prašymo pagrindą, žalos pobūdį, paskirtą sumą, sprendimo pagrindimą ir kt.) (dėl 4.1.2.3. pastabos).</w:t>
            </w:r>
          </w:p>
          <w:p w14:paraId="5B21F557" w14:textId="77777777" w:rsidR="009B71D0" w:rsidRPr="005434D6" w:rsidRDefault="009B71D0" w:rsidP="00DC08DA">
            <w:pPr>
              <w:tabs>
                <w:tab w:val="left" w:pos="709"/>
                <w:tab w:val="left" w:pos="1134"/>
              </w:tabs>
              <w:jc w:val="both"/>
              <w:rPr>
                <w:noProof/>
              </w:rPr>
            </w:pPr>
            <w:r w:rsidRPr="005434D6">
              <w:rPr>
                <w:noProof/>
              </w:rPr>
              <w:t>5.1.5.2. Rengti ir skelbti metines Rezervo lėšų panaudojimo ataskaitas (dėl 4.1.2.3. pastabos).</w:t>
            </w:r>
          </w:p>
          <w:p w14:paraId="40CDEE8F" w14:textId="77777777" w:rsidR="009B71D0" w:rsidRPr="005434D6" w:rsidRDefault="009B71D0" w:rsidP="00DC08DA">
            <w:pPr>
              <w:tabs>
                <w:tab w:val="left" w:pos="709"/>
                <w:tab w:val="left" w:pos="1134"/>
              </w:tabs>
              <w:jc w:val="both"/>
              <w:rPr>
                <w:noProof/>
              </w:rPr>
            </w:pPr>
            <w:r w:rsidRPr="005434D6">
              <w:rPr>
                <w:noProof/>
              </w:rPr>
              <w:lastRenderedPageBreak/>
              <w:t xml:space="preserve">5.1.5.3. Esant galimybei ir poreikiui, </w:t>
            </w:r>
            <w:r w:rsidRPr="005434D6">
              <w:t>sukurti standartinę skiltį savivaldybių interneto svetainėse „Mero rezervas“, kurioje galėtų būtų:</w:t>
            </w:r>
            <w:r w:rsidRPr="005434D6">
              <w:rPr>
                <w:noProof/>
              </w:rPr>
              <w:t xml:space="preserve"> bendra informacija apie mero rezervą, </w:t>
            </w:r>
            <w:r w:rsidRPr="005434D6">
              <w:t>duomenys apie paskirtas sumas, paraiškas,</w:t>
            </w:r>
            <w:r w:rsidRPr="005434D6">
              <w:rPr>
                <w:noProof/>
              </w:rPr>
              <w:t xml:space="preserve"> </w:t>
            </w:r>
            <w:r w:rsidRPr="005434D6">
              <w:t>nuorodos į atitinkamus savivaldybės tarybos sprendimus ir kt.</w:t>
            </w:r>
            <w:r w:rsidRPr="005434D6">
              <w:rPr>
                <w:noProof/>
              </w:rPr>
              <w:t xml:space="preserve"> (dėl 4.1.2.3. pastabos).</w:t>
            </w:r>
          </w:p>
          <w:p w14:paraId="2313EC0C" w14:textId="77777777" w:rsidR="0038784D" w:rsidRPr="005434D6" w:rsidRDefault="0038784D" w:rsidP="00DC08DA">
            <w:pPr>
              <w:widowControl w:val="0"/>
              <w:jc w:val="both"/>
              <w:rPr>
                <w:snapToGrid w:val="0"/>
              </w:rPr>
            </w:pPr>
          </w:p>
        </w:tc>
        <w:tc>
          <w:tcPr>
            <w:tcW w:w="7750" w:type="dxa"/>
          </w:tcPr>
          <w:p w14:paraId="7F17175A" w14:textId="4BD9C70A" w:rsidR="004D1D22" w:rsidRDefault="004D1D22" w:rsidP="004D1D22">
            <w:pPr>
              <w:widowControl w:val="0"/>
              <w:jc w:val="both"/>
            </w:pPr>
            <w:r w:rsidRPr="005204AD">
              <w:lastRenderedPageBreak/>
              <w:t>Į pateiktas pastabas ir pasiūlymus atsižvelgta</w:t>
            </w:r>
            <w:r w:rsidR="00EE4B51">
              <w:t>,</w:t>
            </w:r>
            <w:r w:rsidRPr="005204AD">
              <w:t xml:space="preserve"> </w:t>
            </w:r>
            <w:r w:rsidR="00EE4B51">
              <w:t>T</w:t>
            </w:r>
            <w:r w:rsidRPr="005204AD">
              <w:t>varkos aprašo</w:t>
            </w:r>
            <w:r>
              <w:t xml:space="preserve"> </w:t>
            </w:r>
            <w:r w:rsidR="00840185">
              <w:t>30 punkt</w:t>
            </w:r>
            <w:r w:rsidR="00EE4B51">
              <w:t>as</w:t>
            </w:r>
            <w:r w:rsidR="00840185">
              <w:t xml:space="preserve">. </w:t>
            </w:r>
          </w:p>
          <w:p w14:paraId="53FAE040" w14:textId="4E774832" w:rsidR="004D1D22" w:rsidRDefault="004D1D22" w:rsidP="004D1D22">
            <w:pPr>
              <w:tabs>
                <w:tab w:val="left" w:pos="0"/>
              </w:tabs>
              <w:suppressAutoHyphens/>
              <w:spacing w:line="276" w:lineRule="auto"/>
              <w:ind w:firstLine="720"/>
              <w:jc w:val="both"/>
            </w:pPr>
            <w:r w:rsidRPr="004D1D22">
              <w:rPr>
                <w:i/>
                <w:iCs/>
                <w:lang w:eastAsia="zh-CN"/>
              </w:rPr>
              <w:t xml:space="preserve">„30. </w:t>
            </w:r>
            <w:r w:rsidRPr="004D1D22">
              <w:rPr>
                <w:rStyle w:val="Grietas"/>
                <w:b w:val="0"/>
                <w:bCs w:val="0"/>
                <w:i/>
                <w:iCs/>
              </w:rPr>
              <w:t>Informacija apie lėšų panaudojimą</w:t>
            </w:r>
            <w:r w:rsidRPr="004D1D22">
              <w:rPr>
                <w:i/>
                <w:iCs/>
              </w:rPr>
              <w:t xml:space="preserve"> – skirta metinė suma, faktinis panaudojimas ir likutis – bei </w:t>
            </w:r>
            <w:r w:rsidRPr="004D1D22">
              <w:rPr>
                <w:rStyle w:val="Grietas"/>
                <w:b w:val="0"/>
                <w:bCs w:val="0"/>
                <w:i/>
                <w:iCs/>
              </w:rPr>
              <w:t>lėšų skirstymą</w:t>
            </w:r>
            <w:r w:rsidRPr="004D1D22">
              <w:rPr>
                <w:i/>
                <w:iCs/>
              </w:rPr>
              <w:t xml:space="preserve"> (nuasmeninti pareiškėjų duomenys, prašymo pagrindas, žalos pobūdis, paskirta suma, sprendimo pagrindas ir kita) už pasibaigusius kalendorinius metus skelbiama </w:t>
            </w:r>
            <w:r w:rsidRPr="004D1D22">
              <w:rPr>
                <w:rStyle w:val="Grietas"/>
                <w:b w:val="0"/>
                <w:bCs w:val="0"/>
                <w:i/>
                <w:iCs/>
              </w:rPr>
              <w:t>iki kitų metų kovo 1 d.</w:t>
            </w:r>
            <w:r w:rsidRPr="004D1D22">
              <w:rPr>
                <w:i/>
                <w:iCs/>
              </w:rPr>
              <w:t xml:space="preserve"> Savivaldybės interneto svetainėje </w:t>
            </w:r>
            <w:r w:rsidRPr="004D1D22">
              <w:rPr>
                <w:rStyle w:val="Grietas"/>
                <w:b w:val="0"/>
                <w:bCs w:val="0"/>
                <w:i/>
                <w:iCs/>
              </w:rPr>
              <w:t>www.siauliuraj.lt</w:t>
            </w:r>
            <w:r w:rsidRPr="004D1D22">
              <w:rPr>
                <w:b/>
                <w:bCs/>
                <w:i/>
                <w:iCs/>
              </w:rPr>
              <w:t>.</w:t>
            </w:r>
            <w:r w:rsidRPr="004D1D22">
              <w:rPr>
                <w:i/>
                <w:iCs/>
                <w:lang w:eastAsia="zh-CN"/>
              </w:rPr>
              <w:t xml:space="preserve"> Už informacijos paskelbimą atsakingas Darbo grupės sekretorius.“</w:t>
            </w:r>
          </w:p>
          <w:p w14:paraId="73EA22D7" w14:textId="4045E1F9" w:rsidR="00840185" w:rsidRDefault="00840185" w:rsidP="004D1D22">
            <w:pPr>
              <w:widowControl w:val="0"/>
              <w:jc w:val="both"/>
            </w:pPr>
            <w:r>
              <w:t xml:space="preserve">Nuoroda į </w:t>
            </w:r>
            <w:hyperlink r:id="rId7" w:history="1">
              <w:r w:rsidRPr="00C905B0">
                <w:rPr>
                  <w:rStyle w:val="Hipersaitas"/>
                </w:rPr>
                <w:t>www.siauliuraj.lt</w:t>
              </w:r>
            </w:hyperlink>
            <w:r>
              <w:t xml:space="preserve"> puslapyje esančią skiltį: </w:t>
            </w:r>
            <w:hyperlink r:id="rId8" w:history="1">
              <w:r w:rsidRPr="00C905B0">
                <w:rPr>
                  <w:rStyle w:val="Hipersaitas"/>
                </w:rPr>
                <w:t>https://www.siauliuraj.lt/gyventojui/pagalba-gaisro-stichiniu-nelaimiu-atveju/347</w:t>
              </w:r>
            </w:hyperlink>
          </w:p>
          <w:p w14:paraId="4E535503" w14:textId="77777777" w:rsidR="0038784D" w:rsidRPr="002B3452" w:rsidRDefault="0038784D" w:rsidP="00187C33">
            <w:pPr>
              <w:widowControl w:val="0"/>
              <w:rPr>
                <w:snapToGrid w:val="0"/>
              </w:rPr>
            </w:pPr>
          </w:p>
        </w:tc>
        <w:tc>
          <w:tcPr>
            <w:tcW w:w="1296" w:type="dxa"/>
          </w:tcPr>
          <w:p w14:paraId="6DF126F5" w14:textId="77777777" w:rsidR="0038784D" w:rsidRPr="002B3452" w:rsidRDefault="0038784D" w:rsidP="00187C33">
            <w:pPr>
              <w:widowControl w:val="0"/>
              <w:rPr>
                <w:snapToGrid w:val="0"/>
              </w:rPr>
            </w:pPr>
          </w:p>
        </w:tc>
      </w:tr>
      <w:tr w:rsidR="0038784D" w:rsidRPr="002B3452" w14:paraId="427FD8DF" w14:textId="77777777" w:rsidTr="00F86BA6">
        <w:tc>
          <w:tcPr>
            <w:tcW w:w="2814" w:type="dxa"/>
          </w:tcPr>
          <w:p w14:paraId="77A7D5C8" w14:textId="6C041A50" w:rsidR="0038784D" w:rsidRPr="003D53C7" w:rsidRDefault="0038784D" w:rsidP="00DC08DA">
            <w:pPr>
              <w:jc w:val="both"/>
              <w:rPr>
                <w:noProof/>
              </w:rPr>
            </w:pPr>
            <w:r w:rsidRPr="003D53C7">
              <w:rPr>
                <w:noProof/>
              </w:rPr>
              <w:t>4.1.2.</w:t>
            </w:r>
            <w:r>
              <w:rPr>
                <w:noProof/>
              </w:rPr>
              <w:t>4</w:t>
            </w:r>
            <w:r w:rsidRPr="003D53C7">
              <w:rPr>
                <w:noProof/>
              </w:rPr>
              <w:t>. Savivaldybėse nėra reglamentuota komisijos išvadų ar mero sprendimo apskundimo tvarka, o tai kelia korupcijos riziką, jog neskaidrūs ar šališki sprendimai nebus peržiūrimi (</w:t>
            </w:r>
            <w:r w:rsidRPr="005555ED">
              <w:rPr>
                <w:i/>
                <w:iCs/>
                <w:noProof/>
              </w:rPr>
              <w:t>motyvai nurodyti 3.8. skyriuje</w:t>
            </w:r>
            <w:r w:rsidRPr="003D53C7">
              <w:rPr>
                <w:noProof/>
              </w:rPr>
              <w:t>).</w:t>
            </w:r>
          </w:p>
        </w:tc>
        <w:tc>
          <w:tcPr>
            <w:tcW w:w="2416" w:type="dxa"/>
          </w:tcPr>
          <w:p w14:paraId="4BA3EC98" w14:textId="77777777" w:rsidR="009B71D0" w:rsidRPr="005434D6" w:rsidRDefault="009B71D0" w:rsidP="00DC08DA">
            <w:pPr>
              <w:jc w:val="both"/>
              <w:rPr>
                <w:noProof/>
              </w:rPr>
            </w:pPr>
            <w:r w:rsidRPr="005434D6">
              <w:rPr>
                <w:noProof/>
              </w:rPr>
              <w:t>5.1.5.4. Teisiniame reglamentavime aiškiai įtvirtinti teisę skųsti už Rezervo lėšų skirstymą atsakingos komisijos išvadą – vidinės revizijos būdu (pavyzdžiui, pakartotinis nagrinėjimas ar papildomos informacijos pateikimas) (dėl 4.1.2.4. pastabos).</w:t>
            </w:r>
          </w:p>
          <w:p w14:paraId="6AB85B08" w14:textId="77777777" w:rsidR="009B71D0" w:rsidRPr="005434D6" w:rsidRDefault="009B71D0" w:rsidP="00DC08DA">
            <w:pPr>
              <w:jc w:val="both"/>
              <w:rPr>
                <w:noProof/>
              </w:rPr>
            </w:pPr>
            <w:r w:rsidRPr="005434D6">
              <w:rPr>
                <w:noProof/>
              </w:rPr>
              <w:t xml:space="preserve">5.1.5.5. Aiškiai įtvirtinti teisę skųsti mero potvarkį </w:t>
            </w:r>
            <w:r w:rsidRPr="005434D6">
              <w:rPr>
                <w:noProof/>
              </w:rPr>
              <w:lastRenderedPageBreak/>
              <w:t>administracine tvarka, arba numantant ikiteisminį ginčų sprendimų būdą. Nurodyti skundo pateikimo terminus ir formas (dėl 4.1.2.4. pastabos).</w:t>
            </w:r>
          </w:p>
          <w:p w14:paraId="3D893D9D" w14:textId="77777777" w:rsidR="009B71D0" w:rsidRPr="005434D6" w:rsidRDefault="009B71D0" w:rsidP="00DC08DA">
            <w:pPr>
              <w:jc w:val="both"/>
              <w:rPr>
                <w:noProof/>
              </w:rPr>
            </w:pPr>
            <w:r w:rsidRPr="005434D6">
              <w:rPr>
                <w:noProof/>
              </w:rPr>
              <w:t>5.1.5.6. Ikiteisminio ginčų sprendimo atveju, numatyti skundų nagrinėjimo subjektą (pavyzdžiui, savivaldybės administracijos direktorių, skundų nagrinėjimo komisiją ar kt.) (dėl 4.1.2.4. pastabos).</w:t>
            </w:r>
          </w:p>
          <w:p w14:paraId="7CC154C3" w14:textId="77777777" w:rsidR="0038784D" w:rsidRPr="002B3452" w:rsidRDefault="0038784D" w:rsidP="00DC08DA">
            <w:pPr>
              <w:widowControl w:val="0"/>
              <w:jc w:val="both"/>
              <w:rPr>
                <w:snapToGrid w:val="0"/>
              </w:rPr>
            </w:pPr>
          </w:p>
        </w:tc>
        <w:tc>
          <w:tcPr>
            <w:tcW w:w="7750" w:type="dxa"/>
          </w:tcPr>
          <w:p w14:paraId="0A16C5DB" w14:textId="77777777" w:rsidR="00EE4B51" w:rsidRDefault="00EE4B51" w:rsidP="00A04686">
            <w:pPr>
              <w:widowControl w:val="0"/>
              <w:jc w:val="both"/>
            </w:pPr>
            <w:r>
              <w:lastRenderedPageBreak/>
              <w:t>T</w:t>
            </w:r>
            <w:r w:rsidR="00840185" w:rsidRPr="00A04686">
              <w:t>varkos aprašo 24 punkt</w:t>
            </w:r>
            <w:r>
              <w:t>as</w:t>
            </w:r>
            <w:r w:rsidR="00A04686">
              <w:t>:</w:t>
            </w:r>
            <w:r w:rsidR="00840185" w:rsidRPr="00A04686">
              <w:t xml:space="preserve"> </w:t>
            </w:r>
          </w:p>
          <w:p w14:paraId="71B5B3CD" w14:textId="77777777" w:rsidR="00EE4B51" w:rsidRDefault="0030721F" w:rsidP="00414306">
            <w:pPr>
              <w:widowControl w:val="0"/>
              <w:ind w:firstLine="331"/>
              <w:jc w:val="both"/>
              <w:rPr>
                <w:i/>
                <w:iCs/>
                <w:kern w:val="1"/>
                <w:lang w:eastAsia="ar-SA"/>
              </w:rPr>
            </w:pPr>
            <w:r w:rsidRPr="00A04686">
              <w:rPr>
                <w:i/>
                <w:iCs/>
              </w:rPr>
              <w:t>„</w:t>
            </w:r>
            <w:r w:rsidRPr="00A04686">
              <w:rPr>
                <w:i/>
                <w:iCs/>
                <w:kern w:val="1"/>
                <w:lang w:eastAsia="ar-SA"/>
              </w:rPr>
              <w:t xml:space="preserve">24. Galutinį sprendimą priima meras per 5 darbo dienas, atsižvelgdamas į Darbo grupės parengtą motyvuotą siūlymą. </w:t>
            </w:r>
            <w:r w:rsidRPr="00A04686">
              <w:rPr>
                <w:i/>
                <w:iCs/>
                <w:lang w:eastAsia="zh-CN"/>
              </w:rPr>
              <w:t>Savivaldybės mero</w:t>
            </w:r>
            <w:r w:rsidRPr="00A04686">
              <w:rPr>
                <w:i/>
                <w:iCs/>
                <w:kern w:val="1"/>
                <w:lang w:eastAsia="ar-SA"/>
              </w:rPr>
              <w:t xml:space="preserve"> potvarkių projektus dėl lėšų skyrimo/neskyrimo iš Rezervo rengia Savivaldybės administracijos Finansų skyrius gavęs Darbo grupės parengtą motyvuotą siūlymą esant Savivaldybės mero rezoliucijai.“ </w:t>
            </w:r>
          </w:p>
          <w:p w14:paraId="7E83EF15" w14:textId="77777777" w:rsidR="0038784D" w:rsidRDefault="00A04686" w:rsidP="00A04686">
            <w:pPr>
              <w:widowControl w:val="0"/>
              <w:jc w:val="both"/>
              <w:rPr>
                <w:kern w:val="1"/>
                <w:lang w:eastAsia="ar-SA"/>
              </w:rPr>
            </w:pPr>
            <w:r w:rsidRPr="00A04686">
              <w:rPr>
                <w:kern w:val="1"/>
                <w:lang w:eastAsia="ar-SA"/>
              </w:rPr>
              <w:t>Dar</w:t>
            </w:r>
            <w:r w:rsidR="00EE4B51">
              <w:rPr>
                <w:kern w:val="1"/>
                <w:lang w:eastAsia="ar-SA"/>
              </w:rPr>
              <w:t>b</w:t>
            </w:r>
            <w:r w:rsidRPr="00A04686">
              <w:rPr>
                <w:kern w:val="1"/>
                <w:lang w:eastAsia="ar-SA"/>
              </w:rPr>
              <w:t>o grupė merui teikia motyvuotą siūlymą dėl lėšų skyrimo</w:t>
            </w:r>
            <w:r w:rsidR="00EE4B51">
              <w:rPr>
                <w:kern w:val="1"/>
                <w:lang w:eastAsia="ar-SA"/>
              </w:rPr>
              <w:t xml:space="preserve">, </w:t>
            </w:r>
            <w:r w:rsidRPr="00A04686">
              <w:rPr>
                <w:kern w:val="1"/>
                <w:lang w:eastAsia="ar-SA"/>
              </w:rPr>
              <w:t>o galutinį sprendimą priima meras</w:t>
            </w:r>
            <w:r>
              <w:rPr>
                <w:kern w:val="1"/>
                <w:lang w:eastAsia="ar-SA"/>
              </w:rPr>
              <w:t>,</w:t>
            </w:r>
            <w:r w:rsidRPr="00A04686">
              <w:rPr>
                <w:kern w:val="1"/>
                <w:lang w:eastAsia="ar-SA"/>
              </w:rPr>
              <w:t xml:space="preserve"> todėl apskundimo tvarka nu</w:t>
            </w:r>
            <w:r w:rsidR="0030721F" w:rsidRPr="00A04686">
              <w:rPr>
                <w:kern w:val="1"/>
                <w:lang w:eastAsia="ar-SA"/>
              </w:rPr>
              <w:t xml:space="preserve">rodoma </w:t>
            </w:r>
            <w:r w:rsidRPr="00A04686">
              <w:rPr>
                <w:kern w:val="1"/>
                <w:lang w:eastAsia="ar-SA"/>
              </w:rPr>
              <w:t>mero potvarkyje</w:t>
            </w:r>
            <w:r w:rsidR="00EE4B51">
              <w:rPr>
                <w:kern w:val="1"/>
                <w:lang w:eastAsia="ar-SA"/>
              </w:rPr>
              <w:t>,</w:t>
            </w:r>
            <w:r w:rsidRPr="00A04686">
              <w:rPr>
                <w:kern w:val="1"/>
                <w:lang w:eastAsia="ar-SA"/>
              </w:rPr>
              <w:t xml:space="preserve"> kurį </w:t>
            </w:r>
            <w:r>
              <w:rPr>
                <w:kern w:val="1"/>
                <w:lang w:eastAsia="ar-SA"/>
              </w:rPr>
              <w:t>siunčiamu</w:t>
            </w:r>
            <w:r w:rsidR="00EE4B51">
              <w:rPr>
                <w:kern w:val="1"/>
                <w:lang w:eastAsia="ar-SA"/>
              </w:rPr>
              <w:t>oju</w:t>
            </w:r>
            <w:r>
              <w:rPr>
                <w:kern w:val="1"/>
                <w:lang w:eastAsia="ar-SA"/>
              </w:rPr>
              <w:t xml:space="preserve"> dokumentu </w:t>
            </w:r>
            <w:r w:rsidRPr="00A04686">
              <w:rPr>
                <w:kern w:val="1"/>
                <w:lang w:eastAsia="ar-SA"/>
              </w:rPr>
              <w:t>gauna prašymą pateikęs asmuo.</w:t>
            </w:r>
          </w:p>
          <w:p w14:paraId="64F64516" w14:textId="77777777" w:rsidR="00071679" w:rsidRDefault="00071679" w:rsidP="00A04686">
            <w:pPr>
              <w:widowControl w:val="0"/>
              <w:jc w:val="both"/>
              <w:rPr>
                <w:snapToGrid w:val="0"/>
                <w:kern w:val="1"/>
                <w:lang w:eastAsia="ar-SA"/>
              </w:rPr>
            </w:pPr>
          </w:p>
          <w:p w14:paraId="273D7270" w14:textId="46291FD2" w:rsidR="00071679" w:rsidRDefault="00071679" w:rsidP="00071679">
            <w:pPr>
              <w:jc w:val="both"/>
            </w:pPr>
            <w:r>
              <w:t xml:space="preserve">Atsižvelgiant į Lietuvos Respublikos specialiųjų tyrimų tarnybos 2026 m. sausio 5 d. rašte Nr. 4-01-33 „Dėl korupcijos rizikos analizės išvadoje pateiktų pasiūlymų įgyvendinimo“ pateiktus pasiūlymus, </w:t>
            </w:r>
            <w:r>
              <w:rPr>
                <w:rStyle w:val="whitespace-normal"/>
              </w:rPr>
              <w:t>Šiaulių rajono savivaldybės taryba</w:t>
            </w:r>
            <w:r>
              <w:t xml:space="preserve"> 2026 m. birželio 2 d. sprendimu Nr. T-94 „Dėl Šiaulių rajono savivaldybės tarybos 2025 m. rugsėjo 9 d. sprendimo Nr. T-205 „Dėl Šiaulių rajono savivaldybės mero rezervo lėšų naudojimo tvarkos aprašo patvirtinimo“ pakeitimo“ </w:t>
            </w:r>
            <w:r>
              <w:t xml:space="preserve">papildytas </w:t>
            </w:r>
            <w:r>
              <w:t>Tvarkos apraš</w:t>
            </w:r>
            <w:r w:rsidR="00414306">
              <w:t>as</w:t>
            </w:r>
            <w:r>
              <w:t xml:space="preserve"> 2</w:t>
            </w:r>
            <w:r>
              <w:t>4</w:t>
            </w:r>
            <w:r w:rsidR="00414306">
              <w:rPr>
                <w:vertAlign w:val="superscript"/>
              </w:rPr>
              <w:t>1</w:t>
            </w:r>
            <w:r>
              <w:t xml:space="preserve"> punkt</w:t>
            </w:r>
            <w:r w:rsidR="00414306">
              <w:t>u.</w:t>
            </w:r>
          </w:p>
          <w:p w14:paraId="1FDDA777" w14:textId="0A7B8406" w:rsidR="00071679" w:rsidRPr="00414306" w:rsidRDefault="00414306" w:rsidP="00414306">
            <w:pPr>
              <w:widowControl w:val="0"/>
              <w:ind w:firstLine="615"/>
              <w:jc w:val="both"/>
              <w:rPr>
                <w:i/>
                <w:iCs/>
                <w:snapToGrid w:val="0"/>
              </w:rPr>
            </w:pPr>
            <w:r w:rsidRPr="00414306">
              <w:rPr>
                <w:i/>
                <w:iCs/>
                <w:snapToGrid w:val="0"/>
              </w:rPr>
              <w:lastRenderedPageBreak/>
              <w:t>„</w:t>
            </w:r>
            <w:r w:rsidRPr="00414306">
              <w:rPr>
                <w:i/>
                <w:iCs/>
                <w:snapToGrid w:val="0"/>
              </w:rPr>
              <w:t>24</w:t>
            </w:r>
            <w:r w:rsidRPr="00414306">
              <w:rPr>
                <w:i/>
                <w:iCs/>
                <w:snapToGrid w:val="0"/>
                <w:vertAlign w:val="superscript"/>
              </w:rPr>
              <w:t>1</w:t>
            </w:r>
            <w:r w:rsidRPr="00414306">
              <w:rPr>
                <w:i/>
                <w:iCs/>
                <w:snapToGrid w:val="0"/>
              </w:rPr>
              <w:t>. Darbo grupės sekretorius informuoja prašymą pateikusį asmenį Lietuvos Respublikos viešojo administravimo įstatymo nustatytais terminais apie pateikto prašymo tikslinimą, papildomų dokumentų teikimą, prašymo tenkinimą arba netenkinimą. Jei prašymas netenkinamas, nurodo netenkinimo priežastis ir apskundimo tvarką (gali būti skundžiama savivaldybės merui per vieną mėnesį nuo atsakymo įteikimo (paskelbimo) asmeniui).</w:t>
            </w:r>
            <w:r w:rsidRPr="00414306">
              <w:rPr>
                <w:i/>
                <w:iCs/>
                <w:snapToGrid w:val="0"/>
              </w:rPr>
              <w:t>“</w:t>
            </w:r>
          </w:p>
        </w:tc>
        <w:tc>
          <w:tcPr>
            <w:tcW w:w="1296" w:type="dxa"/>
          </w:tcPr>
          <w:p w14:paraId="156E45FE" w14:textId="77777777" w:rsidR="0038784D" w:rsidRPr="002B3452" w:rsidRDefault="0038784D" w:rsidP="00187C33">
            <w:pPr>
              <w:widowControl w:val="0"/>
              <w:rPr>
                <w:snapToGrid w:val="0"/>
              </w:rPr>
            </w:pPr>
          </w:p>
        </w:tc>
      </w:tr>
      <w:tr w:rsidR="0038784D" w:rsidRPr="002B3452" w14:paraId="7A854BC1" w14:textId="77777777" w:rsidTr="00F86BA6">
        <w:tc>
          <w:tcPr>
            <w:tcW w:w="2814" w:type="dxa"/>
          </w:tcPr>
          <w:p w14:paraId="255A4D4E" w14:textId="6D79C6FB" w:rsidR="0038784D" w:rsidRPr="0038784D" w:rsidRDefault="0038784D" w:rsidP="00DC08DA">
            <w:pPr>
              <w:pStyle w:val="prastasiniatinklio"/>
              <w:spacing w:before="0" w:beforeAutospacing="0" w:after="0" w:afterAutospacing="0"/>
              <w:jc w:val="both"/>
              <w:rPr>
                <w:noProof/>
                <w:sz w:val="24"/>
                <w:szCs w:val="24"/>
              </w:rPr>
            </w:pPr>
            <w:r w:rsidRPr="006C44C8">
              <w:rPr>
                <w:noProof/>
                <w:sz w:val="24"/>
                <w:szCs w:val="24"/>
              </w:rPr>
              <w:t>4.1.2.</w:t>
            </w:r>
            <w:r>
              <w:rPr>
                <w:noProof/>
                <w:sz w:val="24"/>
                <w:szCs w:val="24"/>
              </w:rPr>
              <w:t>5</w:t>
            </w:r>
            <w:r w:rsidRPr="006C44C8">
              <w:rPr>
                <w:noProof/>
                <w:sz w:val="24"/>
                <w:szCs w:val="24"/>
              </w:rPr>
              <w:t>.</w:t>
            </w:r>
            <w:r w:rsidRPr="003D53C7">
              <w:rPr>
                <w:noProof/>
                <w:sz w:val="24"/>
                <w:szCs w:val="24"/>
              </w:rPr>
              <w:t xml:space="preserve"> Rezervo lėšų panaudojimo kontrolė Savivaldybėse yra nepakankama arba apskritai tinkamai neįtvirtinta. Tai kelia korupcijos riziką, kadangi Rezervo lėšos gali būti naudojamos neteisėtai, pažeidžiant skaidrumo ir atskaitomybės principus (</w:t>
            </w:r>
            <w:r w:rsidRPr="005555ED">
              <w:rPr>
                <w:i/>
                <w:iCs/>
                <w:noProof/>
                <w:sz w:val="24"/>
                <w:szCs w:val="24"/>
              </w:rPr>
              <w:t>motyvai nurodyti 3.9. skyriuje</w:t>
            </w:r>
            <w:r w:rsidRPr="00FE0D0B">
              <w:rPr>
                <w:noProof/>
                <w:sz w:val="24"/>
                <w:szCs w:val="24"/>
              </w:rPr>
              <w:t>).</w:t>
            </w:r>
          </w:p>
        </w:tc>
        <w:tc>
          <w:tcPr>
            <w:tcW w:w="2416" w:type="dxa"/>
          </w:tcPr>
          <w:p w14:paraId="09281828" w14:textId="77777777" w:rsidR="009B71D0" w:rsidRPr="005434D6" w:rsidRDefault="009B71D0" w:rsidP="00DC08DA">
            <w:pPr>
              <w:jc w:val="both"/>
              <w:rPr>
                <w:noProof/>
              </w:rPr>
            </w:pPr>
            <w:r w:rsidRPr="005434D6">
              <w:rPr>
                <w:noProof/>
              </w:rPr>
              <w:t>5.1.5.7. Tiksliai apibrėžti, kuris konkretus subjektas (t. y. Savivaldybės kontrolės tarnyba, vidaus audito tarnyba ar nepriklausomas auditorius) yra atsakingas už Rezervo lėšų kontrolę (dėl 4.1.2.5. pastabos).</w:t>
            </w:r>
          </w:p>
          <w:p w14:paraId="14547A69" w14:textId="0A0AE28A" w:rsidR="0038784D" w:rsidRPr="009B71D0" w:rsidRDefault="009B71D0" w:rsidP="00DC08DA">
            <w:pPr>
              <w:jc w:val="both"/>
              <w:rPr>
                <w:noProof/>
              </w:rPr>
            </w:pPr>
            <w:r w:rsidRPr="005434D6">
              <w:rPr>
                <w:noProof/>
              </w:rPr>
              <w:t xml:space="preserve">5.1.5.8. Periodiškai atlikti Rezervo lėšų panaudojimo kontrolę, </w:t>
            </w:r>
            <w:r w:rsidRPr="005434D6">
              <w:rPr>
                <w:noProof/>
              </w:rPr>
              <w:lastRenderedPageBreak/>
              <w:t>pasitelkiant vidaus ar išorės auditą (dėl 4.1.2.5. pastabos).</w:t>
            </w:r>
          </w:p>
        </w:tc>
        <w:tc>
          <w:tcPr>
            <w:tcW w:w="7750" w:type="dxa"/>
          </w:tcPr>
          <w:p w14:paraId="3A42167D" w14:textId="77777777" w:rsidR="00EE4B51" w:rsidRDefault="00EE4B51" w:rsidP="00364F26">
            <w:pPr>
              <w:widowControl w:val="0"/>
              <w:jc w:val="both"/>
            </w:pPr>
            <w:r>
              <w:lastRenderedPageBreak/>
              <w:t>T</w:t>
            </w:r>
            <w:r w:rsidR="00E15788" w:rsidRPr="00E15788">
              <w:t>varkos</w:t>
            </w:r>
            <w:r w:rsidR="00E15788" w:rsidRPr="00A04686">
              <w:t xml:space="preserve"> aprašo </w:t>
            </w:r>
            <w:r w:rsidR="00E15788">
              <w:t>36</w:t>
            </w:r>
            <w:r w:rsidR="00E15788" w:rsidRPr="00A04686">
              <w:t xml:space="preserve"> punkt</w:t>
            </w:r>
            <w:r>
              <w:t>as</w:t>
            </w:r>
            <w:r w:rsidR="00E15788">
              <w:t xml:space="preserve">: </w:t>
            </w:r>
            <w:r w:rsidR="00840185">
              <w:t xml:space="preserve"> </w:t>
            </w:r>
          </w:p>
          <w:p w14:paraId="1813CCD2" w14:textId="77777777" w:rsidR="00EE4B51" w:rsidRDefault="00E15788" w:rsidP="00364F26">
            <w:pPr>
              <w:widowControl w:val="0"/>
              <w:jc w:val="both"/>
            </w:pPr>
            <w:r w:rsidRPr="00E15788">
              <w:rPr>
                <w:i/>
                <w:iCs/>
              </w:rPr>
              <w:t>„36. Rezervo lėšų panaudojimo kontrolė vykdoma teisės aktų nustatyta tvarka.“</w:t>
            </w:r>
            <w:r>
              <w:t xml:space="preserve"> </w:t>
            </w:r>
          </w:p>
          <w:p w14:paraId="07E8D628" w14:textId="60538A76" w:rsidR="0038784D" w:rsidRPr="00840185" w:rsidRDefault="003C4CCA" w:rsidP="00364F26">
            <w:pPr>
              <w:widowControl w:val="0"/>
              <w:jc w:val="both"/>
              <w:rPr>
                <w:snapToGrid w:val="0"/>
              </w:rPr>
            </w:pPr>
            <w:r>
              <w:t xml:space="preserve">Vadovaujantis Vietos savivaldos įstatymo 67 </w:t>
            </w:r>
            <w:r w:rsidR="00EE4B51">
              <w:t xml:space="preserve">straipsniu </w:t>
            </w:r>
            <w:r w:rsidRPr="003C4CCA">
              <w:rPr>
                <w:color w:val="000000"/>
              </w:rPr>
              <w:t>Savivaldybės kontrolės ir audito tarnyba</w:t>
            </w:r>
            <w:r>
              <w:rPr>
                <w:color w:val="000000"/>
              </w:rPr>
              <w:t xml:space="preserve"> veikia įstatymo ribose.</w:t>
            </w:r>
          </w:p>
        </w:tc>
        <w:tc>
          <w:tcPr>
            <w:tcW w:w="1296" w:type="dxa"/>
          </w:tcPr>
          <w:p w14:paraId="0A6C5F00" w14:textId="77777777" w:rsidR="0038784D" w:rsidRPr="002B3452" w:rsidRDefault="0038784D" w:rsidP="00187C33">
            <w:pPr>
              <w:widowControl w:val="0"/>
              <w:rPr>
                <w:snapToGrid w:val="0"/>
              </w:rPr>
            </w:pPr>
          </w:p>
        </w:tc>
      </w:tr>
      <w:tr w:rsidR="0037500E" w:rsidRPr="002B3452" w14:paraId="6A3D74DF" w14:textId="77777777" w:rsidTr="0038784D">
        <w:tc>
          <w:tcPr>
            <w:tcW w:w="14276" w:type="dxa"/>
            <w:gridSpan w:val="4"/>
          </w:tcPr>
          <w:p w14:paraId="1226815D" w14:textId="77777777" w:rsidR="0037500E" w:rsidRPr="008F1D8D" w:rsidRDefault="0037500E" w:rsidP="009B71D0">
            <w:pPr>
              <w:pStyle w:val="Sraopastraipa"/>
              <w:widowControl w:val="0"/>
              <w:numPr>
                <w:ilvl w:val="0"/>
                <w:numId w:val="1"/>
              </w:numPr>
              <w:jc w:val="center"/>
              <w:rPr>
                <w:i/>
                <w:snapToGrid w:val="0"/>
              </w:rPr>
            </w:pPr>
            <w:r w:rsidRPr="008F1D8D">
              <w:rPr>
                <w:i/>
                <w:snapToGrid w:val="0"/>
              </w:rPr>
              <w:t>Kitos pastabos</w:t>
            </w:r>
          </w:p>
        </w:tc>
      </w:tr>
      <w:tr w:rsidR="0037500E" w:rsidRPr="002B3452" w14:paraId="164F2D41" w14:textId="77777777" w:rsidTr="00F86BA6">
        <w:tc>
          <w:tcPr>
            <w:tcW w:w="2814" w:type="dxa"/>
          </w:tcPr>
          <w:p w14:paraId="52B96FAB" w14:textId="3E8958C5" w:rsidR="0037500E" w:rsidRPr="002B3452" w:rsidRDefault="0038784D" w:rsidP="009B71D0">
            <w:pPr>
              <w:widowControl w:val="0"/>
              <w:rPr>
                <w:snapToGrid w:val="0"/>
              </w:rPr>
            </w:pPr>
            <w:r w:rsidRPr="003C217E">
              <w:rPr>
                <w:noProof/>
              </w:rPr>
              <w:t>Kitų pastabų ir pasiūlymų neteikiame.</w:t>
            </w:r>
          </w:p>
        </w:tc>
        <w:tc>
          <w:tcPr>
            <w:tcW w:w="2416" w:type="dxa"/>
          </w:tcPr>
          <w:p w14:paraId="2EFDD91A" w14:textId="77777777" w:rsidR="0037500E" w:rsidRPr="002B3452" w:rsidRDefault="0037500E" w:rsidP="009B71D0">
            <w:pPr>
              <w:widowControl w:val="0"/>
              <w:rPr>
                <w:snapToGrid w:val="0"/>
              </w:rPr>
            </w:pPr>
          </w:p>
        </w:tc>
        <w:tc>
          <w:tcPr>
            <w:tcW w:w="7750" w:type="dxa"/>
          </w:tcPr>
          <w:p w14:paraId="5B7E7616" w14:textId="77777777" w:rsidR="0037500E" w:rsidRPr="002B3452" w:rsidRDefault="0037500E" w:rsidP="00187C33">
            <w:pPr>
              <w:widowControl w:val="0"/>
              <w:rPr>
                <w:snapToGrid w:val="0"/>
              </w:rPr>
            </w:pPr>
          </w:p>
        </w:tc>
        <w:tc>
          <w:tcPr>
            <w:tcW w:w="1296" w:type="dxa"/>
          </w:tcPr>
          <w:p w14:paraId="1D851A50" w14:textId="77777777" w:rsidR="0037500E" w:rsidRPr="002B3452" w:rsidRDefault="0037500E" w:rsidP="00187C33">
            <w:pPr>
              <w:widowControl w:val="0"/>
              <w:rPr>
                <w:snapToGrid w:val="0"/>
              </w:rPr>
            </w:pPr>
          </w:p>
        </w:tc>
      </w:tr>
      <w:tr w:rsidR="0037500E" w:rsidRPr="002B3452" w14:paraId="16E7A663" w14:textId="77777777" w:rsidTr="00F86BA6">
        <w:tc>
          <w:tcPr>
            <w:tcW w:w="2814" w:type="dxa"/>
          </w:tcPr>
          <w:p w14:paraId="7687E74F" w14:textId="77777777" w:rsidR="0037500E" w:rsidRPr="002B3452" w:rsidRDefault="0037500E" w:rsidP="009B71D0">
            <w:pPr>
              <w:widowControl w:val="0"/>
              <w:rPr>
                <w:snapToGrid w:val="0"/>
              </w:rPr>
            </w:pPr>
          </w:p>
        </w:tc>
        <w:tc>
          <w:tcPr>
            <w:tcW w:w="2416" w:type="dxa"/>
          </w:tcPr>
          <w:p w14:paraId="56C1B397" w14:textId="77777777" w:rsidR="0037500E" w:rsidRPr="002B3452" w:rsidRDefault="0037500E" w:rsidP="009B71D0">
            <w:pPr>
              <w:widowControl w:val="0"/>
              <w:rPr>
                <w:snapToGrid w:val="0"/>
              </w:rPr>
            </w:pPr>
          </w:p>
        </w:tc>
        <w:tc>
          <w:tcPr>
            <w:tcW w:w="7750" w:type="dxa"/>
          </w:tcPr>
          <w:p w14:paraId="6013854A" w14:textId="77777777" w:rsidR="0037500E" w:rsidRPr="002B3452" w:rsidRDefault="0037500E" w:rsidP="00187C33">
            <w:pPr>
              <w:widowControl w:val="0"/>
              <w:rPr>
                <w:snapToGrid w:val="0"/>
              </w:rPr>
            </w:pPr>
          </w:p>
        </w:tc>
        <w:tc>
          <w:tcPr>
            <w:tcW w:w="1296" w:type="dxa"/>
          </w:tcPr>
          <w:p w14:paraId="67ED5520" w14:textId="77777777" w:rsidR="0037500E" w:rsidRPr="002B3452" w:rsidRDefault="0037500E" w:rsidP="00187C33">
            <w:pPr>
              <w:widowControl w:val="0"/>
              <w:rPr>
                <w:snapToGrid w:val="0"/>
              </w:rPr>
            </w:pPr>
          </w:p>
        </w:tc>
      </w:tr>
      <w:tr w:rsidR="0037500E" w:rsidRPr="002B3452" w14:paraId="2E802B51" w14:textId="77777777" w:rsidTr="00F86BA6">
        <w:tc>
          <w:tcPr>
            <w:tcW w:w="2814" w:type="dxa"/>
          </w:tcPr>
          <w:p w14:paraId="4FE6DDCF" w14:textId="77777777" w:rsidR="0037500E" w:rsidRPr="002B3452" w:rsidRDefault="0037500E" w:rsidP="009B71D0">
            <w:pPr>
              <w:widowControl w:val="0"/>
              <w:rPr>
                <w:snapToGrid w:val="0"/>
              </w:rPr>
            </w:pPr>
          </w:p>
        </w:tc>
        <w:tc>
          <w:tcPr>
            <w:tcW w:w="2416" w:type="dxa"/>
          </w:tcPr>
          <w:p w14:paraId="66D830BA" w14:textId="77777777" w:rsidR="0037500E" w:rsidRPr="002B3452" w:rsidRDefault="0037500E" w:rsidP="009B71D0">
            <w:pPr>
              <w:widowControl w:val="0"/>
              <w:rPr>
                <w:snapToGrid w:val="0"/>
              </w:rPr>
            </w:pPr>
          </w:p>
        </w:tc>
        <w:tc>
          <w:tcPr>
            <w:tcW w:w="7750" w:type="dxa"/>
          </w:tcPr>
          <w:p w14:paraId="0ED24A4E" w14:textId="77777777" w:rsidR="0037500E" w:rsidRPr="002B3452" w:rsidRDefault="0037500E" w:rsidP="00187C33">
            <w:pPr>
              <w:widowControl w:val="0"/>
              <w:rPr>
                <w:snapToGrid w:val="0"/>
              </w:rPr>
            </w:pPr>
          </w:p>
        </w:tc>
        <w:tc>
          <w:tcPr>
            <w:tcW w:w="1296" w:type="dxa"/>
          </w:tcPr>
          <w:p w14:paraId="34795A0B" w14:textId="77777777" w:rsidR="0037500E" w:rsidRPr="002B3452" w:rsidRDefault="0037500E" w:rsidP="00187C33">
            <w:pPr>
              <w:widowControl w:val="0"/>
              <w:rPr>
                <w:snapToGrid w:val="0"/>
              </w:rPr>
            </w:pPr>
          </w:p>
        </w:tc>
      </w:tr>
    </w:tbl>
    <w:p w14:paraId="4B5C8188" w14:textId="77777777" w:rsidR="0034418E" w:rsidRDefault="0034418E" w:rsidP="0034418E">
      <w:pPr>
        <w:spacing w:line="360" w:lineRule="auto"/>
        <w:ind w:firstLine="851"/>
        <w:jc w:val="center"/>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42F5" w14:textId="77777777" w:rsidR="005A1C20" w:rsidRDefault="005A1C20" w:rsidP="00694944">
      <w:r>
        <w:separator/>
      </w:r>
    </w:p>
  </w:endnote>
  <w:endnote w:type="continuationSeparator" w:id="0">
    <w:p w14:paraId="56123A49" w14:textId="77777777" w:rsidR="005A1C20" w:rsidRDefault="005A1C20"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6CFB" w14:textId="77777777" w:rsidR="005A1C20" w:rsidRDefault="005A1C20" w:rsidP="00694944">
      <w:r>
        <w:separator/>
      </w:r>
    </w:p>
  </w:footnote>
  <w:footnote w:type="continuationSeparator" w:id="0">
    <w:p w14:paraId="28C8426B" w14:textId="77777777" w:rsidR="005A1C20" w:rsidRDefault="005A1C20" w:rsidP="00694944">
      <w:r>
        <w:continuationSeparator/>
      </w:r>
    </w:p>
  </w:footnote>
  <w:footnote w:id="1">
    <w:p w14:paraId="711CD6C2" w14:textId="77777777" w:rsidR="00694944" w:rsidRPr="0013385B" w:rsidRDefault="00694944" w:rsidP="00694944">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korupcijos rizikos analizės nurodytų pasiūly</w:t>
      </w:r>
      <w:r w:rsidRPr="000D690B">
        <w:rPr>
          <w:rFonts w:ascii="Times New Roman" w:hAnsi="Times New Roman"/>
          <w:bCs/>
        </w:rPr>
        <w:t>mų vykdymą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04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40139"/>
    <w:rsid w:val="00071679"/>
    <w:rsid w:val="000C5806"/>
    <w:rsid w:val="000D63E8"/>
    <w:rsid w:val="0010135E"/>
    <w:rsid w:val="001077C4"/>
    <w:rsid w:val="001820B6"/>
    <w:rsid w:val="001D4B14"/>
    <w:rsid w:val="00205E41"/>
    <w:rsid w:val="00226298"/>
    <w:rsid w:val="00270C62"/>
    <w:rsid w:val="0028208C"/>
    <w:rsid w:val="002A1711"/>
    <w:rsid w:val="002E17D3"/>
    <w:rsid w:val="002E6C6C"/>
    <w:rsid w:val="002F5082"/>
    <w:rsid w:val="0030721F"/>
    <w:rsid w:val="0034418E"/>
    <w:rsid w:val="00364F26"/>
    <w:rsid w:val="0037500E"/>
    <w:rsid w:val="003826DC"/>
    <w:rsid w:val="00383F51"/>
    <w:rsid w:val="0038784D"/>
    <w:rsid w:val="003C4CCA"/>
    <w:rsid w:val="003E50E6"/>
    <w:rsid w:val="003E7DC1"/>
    <w:rsid w:val="004050B5"/>
    <w:rsid w:val="00414306"/>
    <w:rsid w:val="00417389"/>
    <w:rsid w:val="00442AB7"/>
    <w:rsid w:val="00452504"/>
    <w:rsid w:val="004818D2"/>
    <w:rsid w:val="004B7E9A"/>
    <w:rsid w:val="004D1D22"/>
    <w:rsid w:val="004F562E"/>
    <w:rsid w:val="0050734C"/>
    <w:rsid w:val="005204AD"/>
    <w:rsid w:val="00526C20"/>
    <w:rsid w:val="005434D6"/>
    <w:rsid w:val="005548F1"/>
    <w:rsid w:val="00556133"/>
    <w:rsid w:val="005A1C20"/>
    <w:rsid w:val="005D4659"/>
    <w:rsid w:val="005E0A0A"/>
    <w:rsid w:val="005E1894"/>
    <w:rsid w:val="005F45F6"/>
    <w:rsid w:val="00617851"/>
    <w:rsid w:val="00625300"/>
    <w:rsid w:val="00631BE5"/>
    <w:rsid w:val="00664204"/>
    <w:rsid w:val="006700B4"/>
    <w:rsid w:val="00694944"/>
    <w:rsid w:val="006B3540"/>
    <w:rsid w:val="006B3A3C"/>
    <w:rsid w:val="006E0493"/>
    <w:rsid w:val="00710319"/>
    <w:rsid w:val="00743AA1"/>
    <w:rsid w:val="0076281E"/>
    <w:rsid w:val="00785A63"/>
    <w:rsid w:val="00840185"/>
    <w:rsid w:val="00854053"/>
    <w:rsid w:val="008F6DF3"/>
    <w:rsid w:val="0090636B"/>
    <w:rsid w:val="009374B9"/>
    <w:rsid w:val="009B71D0"/>
    <w:rsid w:val="00A04686"/>
    <w:rsid w:val="00A72329"/>
    <w:rsid w:val="00AA74AB"/>
    <w:rsid w:val="00AC30E1"/>
    <w:rsid w:val="00AD1588"/>
    <w:rsid w:val="00AF0532"/>
    <w:rsid w:val="00B2318E"/>
    <w:rsid w:val="00B85DA1"/>
    <w:rsid w:val="00BB32CD"/>
    <w:rsid w:val="00C53629"/>
    <w:rsid w:val="00C602B0"/>
    <w:rsid w:val="00C66D9F"/>
    <w:rsid w:val="00D07F3C"/>
    <w:rsid w:val="00D23F1D"/>
    <w:rsid w:val="00D37029"/>
    <w:rsid w:val="00D85432"/>
    <w:rsid w:val="00DC08DA"/>
    <w:rsid w:val="00E15788"/>
    <w:rsid w:val="00E20495"/>
    <w:rsid w:val="00E31624"/>
    <w:rsid w:val="00EE4B51"/>
    <w:rsid w:val="00EF068B"/>
    <w:rsid w:val="00EF7971"/>
    <w:rsid w:val="00F35E90"/>
    <w:rsid w:val="00F86B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paragraph" w:styleId="prastasiniatinklio">
    <w:name w:val="Normal (Web)"/>
    <w:basedOn w:val="prastasis"/>
    <w:uiPriority w:val="99"/>
    <w:rsid w:val="0038784D"/>
    <w:pPr>
      <w:spacing w:before="100" w:beforeAutospacing="1" w:after="100" w:afterAutospacing="1"/>
    </w:pPr>
    <w:rPr>
      <w:sz w:val="17"/>
      <w:szCs w:val="17"/>
    </w:rPr>
  </w:style>
  <w:style w:type="character" w:styleId="Grietas">
    <w:name w:val="Strong"/>
    <w:basedOn w:val="Numatytasispastraiposriftas"/>
    <w:uiPriority w:val="22"/>
    <w:qFormat/>
    <w:rsid w:val="00617851"/>
    <w:rPr>
      <w:b/>
      <w:bCs/>
    </w:rPr>
  </w:style>
  <w:style w:type="character" w:styleId="Hipersaitas">
    <w:name w:val="Hyperlink"/>
    <w:basedOn w:val="Numatytasispastraiposriftas"/>
    <w:uiPriority w:val="99"/>
    <w:unhideWhenUsed/>
    <w:rsid w:val="00617851"/>
    <w:rPr>
      <w:color w:val="0000FF"/>
      <w:u w:val="single"/>
    </w:rPr>
  </w:style>
  <w:style w:type="character" w:styleId="Neapdorotaspaminjimas">
    <w:name w:val="Unresolved Mention"/>
    <w:basedOn w:val="Numatytasispastraiposriftas"/>
    <w:uiPriority w:val="99"/>
    <w:semiHidden/>
    <w:unhideWhenUsed/>
    <w:rsid w:val="00631BE5"/>
    <w:rPr>
      <w:color w:val="605E5C"/>
      <w:shd w:val="clear" w:color="auto" w:fill="E1DFDD"/>
    </w:rPr>
  </w:style>
  <w:style w:type="paragraph" w:styleId="Komentarotekstas">
    <w:name w:val="annotation text"/>
    <w:basedOn w:val="prastasis"/>
    <w:link w:val="KomentarotekstasDiagrama"/>
    <w:uiPriority w:val="99"/>
    <w:semiHidden/>
    <w:unhideWhenUsed/>
    <w:rsid w:val="00AA74AB"/>
    <w:rPr>
      <w:sz w:val="20"/>
      <w:szCs w:val="20"/>
    </w:rPr>
  </w:style>
  <w:style w:type="character" w:customStyle="1" w:styleId="KomentarotekstasDiagrama">
    <w:name w:val="Komentaro tekstas Diagrama"/>
    <w:basedOn w:val="Numatytasispastraiposriftas"/>
    <w:link w:val="Komentarotekstas"/>
    <w:uiPriority w:val="99"/>
    <w:semiHidden/>
    <w:rsid w:val="00AA74A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AA74AB"/>
    <w:rPr>
      <w:sz w:val="16"/>
      <w:szCs w:val="16"/>
    </w:rPr>
  </w:style>
  <w:style w:type="character" w:customStyle="1" w:styleId="whitespace-normal">
    <w:name w:val="whitespace-normal"/>
    <w:basedOn w:val="Numatytasispastraiposriftas"/>
    <w:rsid w:val="0007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uliuraj.lt/gyventojui/pagalba-gaisro-stichiniu-nelaimiu-atveju/347" TargetMode="External"/><Relationship Id="rId3" Type="http://schemas.openxmlformats.org/officeDocument/2006/relationships/settings" Target="settings.xml"/><Relationship Id="rId7" Type="http://schemas.openxmlformats.org/officeDocument/2006/relationships/hyperlink" Target="http://www.siauliura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11076</Words>
  <Characters>6314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Raimonda Dominauskaitė</cp:lastModifiedBy>
  <cp:revision>4</cp:revision>
  <dcterms:created xsi:type="dcterms:W3CDTF">2026-06-10T10:10:00Z</dcterms:created>
  <dcterms:modified xsi:type="dcterms:W3CDTF">2026-06-10T10:40:00Z</dcterms:modified>
</cp:coreProperties>
</file>