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0" w:type="dxa"/>
        <w:tblInd w:w="-1" w:type="dxa"/>
        <w:tblLayout w:type="fixed"/>
        <w:tblCellMar>
          <w:left w:w="10" w:type="dxa"/>
          <w:right w:w="10" w:type="dxa"/>
        </w:tblCellMar>
        <w:tblLook w:val="0000" w:firstRow="0" w:lastRow="0" w:firstColumn="0" w:lastColumn="0" w:noHBand="0" w:noVBand="0"/>
      </w:tblPr>
      <w:tblGrid>
        <w:gridCol w:w="9620"/>
      </w:tblGrid>
      <w:tr w:rsidR="00775972" w14:paraId="54AC6F6C" w14:textId="77777777">
        <w:trPr>
          <w:trHeight w:val="1410"/>
        </w:trPr>
        <w:tc>
          <w:tcPr>
            <w:tcW w:w="9620" w:type="dxa"/>
            <w:shd w:val="clear" w:color="auto" w:fill="FFFFFF"/>
            <w:tcMar>
              <w:top w:w="0" w:type="dxa"/>
              <w:left w:w="108" w:type="dxa"/>
              <w:bottom w:w="0" w:type="dxa"/>
              <w:right w:w="108" w:type="dxa"/>
            </w:tcMar>
          </w:tcPr>
          <w:p w14:paraId="3A366AD0" w14:textId="77777777" w:rsidR="00775972" w:rsidRDefault="004B2626">
            <w:pPr>
              <w:pStyle w:val="Antrat7"/>
              <w:widowControl w:val="0"/>
              <w:tabs>
                <w:tab w:val="left" w:pos="0"/>
              </w:tabs>
            </w:pPr>
            <w:r>
              <w:rPr>
                <w:noProof/>
              </w:rPr>
              <w:drawing>
                <wp:anchor distT="0" distB="0" distL="114300" distR="114300" simplePos="0" relativeHeight="251658240" behindDoc="0" locked="0" layoutInCell="1" allowOverlap="1" wp14:anchorId="606B264B" wp14:editId="09A8FEA4">
                  <wp:simplePos x="0" y="0"/>
                  <wp:positionH relativeFrom="column">
                    <wp:align>center</wp:align>
                  </wp:positionH>
                  <wp:positionV relativeFrom="paragraph">
                    <wp:posOffset>140400</wp:posOffset>
                  </wp:positionV>
                  <wp:extent cx="581760" cy="695159"/>
                  <wp:effectExtent l="0" t="0" r="8790" b="0"/>
                  <wp:wrapTopAndBottom/>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1760" cy="695159"/>
                          </a:xfrm>
                          <a:prstGeom prst="rect">
                            <a:avLst/>
                          </a:prstGeom>
                          <a:noFill/>
                          <a:ln>
                            <a:noFill/>
                            <a:prstDash/>
                          </a:ln>
                        </pic:spPr>
                      </pic:pic>
                    </a:graphicData>
                  </a:graphic>
                </wp:anchor>
              </w:drawing>
            </w:r>
          </w:p>
        </w:tc>
      </w:tr>
      <w:tr w:rsidR="00775972" w14:paraId="15D517CE" w14:textId="77777777">
        <w:trPr>
          <w:trHeight w:val="275"/>
        </w:trPr>
        <w:tc>
          <w:tcPr>
            <w:tcW w:w="9620" w:type="dxa"/>
            <w:shd w:val="clear" w:color="auto" w:fill="FFFFFF"/>
            <w:tcMar>
              <w:top w:w="0" w:type="dxa"/>
              <w:left w:w="108" w:type="dxa"/>
              <w:bottom w:w="0" w:type="dxa"/>
              <w:right w:w="108" w:type="dxa"/>
            </w:tcMar>
          </w:tcPr>
          <w:p w14:paraId="763B7579" w14:textId="77777777" w:rsidR="00775972" w:rsidRDefault="004B2626" w:rsidP="006F2165">
            <w:pPr>
              <w:pStyle w:val="Antrat7"/>
              <w:widowControl w:val="0"/>
              <w:tabs>
                <w:tab w:val="left" w:pos="0"/>
              </w:tabs>
            </w:pPr>
            <w:r>
              <w:t>ŠIAULIŲ RAJONO SAVIVALDYBĖS ADMINISTRACIJOS</w:t>
            </w:r>
          </w:p>
          <w:p w14:paraId="62168ABB" w14:textId="77777777" w:rsidR="00775972" w:rsidRDefault="004B2626" w:rsidP="006F2165">
            <w:pPr>
              <w:pStyle w:val="Antrat7"/>
              <w:widowControl w:val="0"/>
              <w:tabs>
                <w:tab w:val="left" w:pos="2891"/>
              </w:tabs>
            </w:pPr>
            <w:r>
              <w:t>DIREKTORIUS</w:t>
            </w:r>
          </w:p>
        </w:tc>
      </w:tr>
      <w:tr w:rsidR="00775972" w14:paraId="11F9BB31" w14:textId="77777777">
        <w:trPr>
          <w:trHeight w:val="290"/>
        </w:trPr>
        <w:tc>
          <w:tcPr>
            <w:tcW w:w="9620" w:type="dxa"/>
            <w:shd w:val="clear" w:color="auto" w:fill="FFFFFF"/>
            <w:tcMar>
              <w:top w:w="0" w:type="dxa"/>
              <w:left w:w="108" w:type="dxa"/>
              <w:bottom w:w="0" w:type="dxa"/>
              <w:right w:w="108" w:type="dxa"/>
            </w:tcMar>
          </w:tcPr>
          <w:p w14:paraId="2AFEF495" w14:textId="77777777" w:rsidR="00775972" w:rsidRDefault="00775972" w:rsidP="006F2165">
            <w:pPr>
              <w:pStyle w:val="Standard"/>
              <w:widowControl w:val="0"/>
              <w:jc w:val="center"/>
              <w:rPr>
                <w:b/>
                <w:sz w:val="24"/>
              </w:rPr>
            </w:pPr>
          </w:p>
        </w:tc>
      </w:tr>
      <w:tr w:rsidR="00775972" w14:paraId="6F68C1D4" w14:textId="77777777">
        <w:trPr>
          <w:trHeight w:val="275"/>
        </w:trPr>
        <w:tc>
          <w:tcPr>
            <w:tcW w:w="9620" w:type="dxa"/>
            <w:shd w:val="clear" w:color="auto" w:fill="FFFFFF"/>
            <w:tcMar>
              <w:top w:w="0" w:type="dxa"/>
              <w:left w:w="108" w:type="dxa"/>
              <w:bottom w:w="0" w:type="dxa"/>
              <w:right w:w="108" w:type="dxa"/>
            </w:tcMar>
          </w:tcPr>
          <w:p w14:paraId="348F1015" w14:textId="77777777" w:rsidR="00775972" w:rsidRPr="00D02BE4" w:rsidRDefault="004B2626">
            <w:pPr>
              <w:pStyle w:val="Antrat1"/>
              <w:widowControl w:val="0"/>
              <w:jc w:val="center"/>
              <w:rPr>
                <w:b/>
                <w:szCs w:val="24"/>
              </w:rPr>
            </w:pPr>
            <w:r w:rsidRPr="00D02BE4">
              <w:rPr>
                <w:b/>
                <w:szCs w:val="24"/>
              </w:rPr>
              <w:t>ĮSAKYMAS</w:t>
            </w:r>
          </w:p>
        </w:tc>
      </w:tr>
      <w:tr w:rsidR="00775972" w14:paraId="2CF6040B" w14:textId="77777777">
        <w:trPr>
          <w:trHeight w:val="664"/>
        </w:trPr>
        <w:tc>
          <w:tcPr>
            <w:tcW w:w="9620" w:type="dxa"/>
            <w:shd w:val="clear" w:color="auto" w:fill="FFFFFF"/>
            <w:tcMar>
              <w:top w:w="0" w:type="dxa"/>
              <w:left w:w="108" w:type="dxa"/>
              <w:bottom w:w="0" w:type="dxa"/>
              <w:right w:w="108" w:type="dxa"/>
            </w:tcMar>
          </w:tcPr>
          <w:p w14:paraId="20E0D7CE" w14:textId="7A0AEC66" w:rsidR="00775972" w:rsidRPr="00D02BE4" w:rsidRDefault="004B2626">
            <w:pPr>
              <w:pStyle w:val="Antrat1"/>
              <w:widowControl w:val="0"/>
              <w:tabs>
                <w:tab w:val="left" w:pos="318"/>
              </w:tabs>
              <w:ind w:right="-265"/>
              <w:jc w:val="center"/>
              <w:rPr>
                <w:b/>
                <w:szCs w:val="24"/>
              </w:rPr>
            </w:pPr>
            <w:r w:rsidRPr="00D02BE4">
              <w:rPr>
                <w:b/>
                <w:szCs w:val="24"/>
              </w:rPr>
              <w:t>DĖL TERITORIJŲ PLANAVIMO PROCESO INICIJAVIMO, ORGANIZAVIMO</w:t>
            </w:r>
            <w:r w:rsidR="00D514EA">
              <w:rPr>
                <w:b/>
                <w:szCs w:val="24"/>
              </w:rPr>
              <w:t xml:space="preserve"> </w:t>
            </w:r>
            <w:r w:rsidRPr="00D02BE4">
              <w:rPr>
                <w:b/>
                <w:szCs w:val="24"/>
              </w:rPr>
              <w:t>BEI PLANAVIMO TIKSLŲ IR SUTARTIES SUDARYMO</w:t>
            </w:r>
          </w:p>
          <w:p w14:paraId="6CC3C1FD" w14:textId="77777777" w:rsidR="00775972" w:rsidRPr="00D02BE4" w:rsidRDefault="00775972">
            <w:pPr>
              <w:pStyle w:val="Antrat1"/>
              <w:widowControl w:val="0"/>
              <w:tabs>
                <w:tab w:val="left" w:pos="318"/>
              </w:tabs>
              <w:ind w:right="-265"/>
              <w:jc w:val="center"/>
              <w:rPr>
                <w:b/>
                <w:szCs w:val="24"/>
              </w:rPr>
            </w:pPr>
          </w:p>
        </w:tc>
      </w:tr>
      <w:tr w:rsidR="00775972" w14:paraId="2E808228" w14:textId="77777777">
        <w:trPr>
          <w:trHeight w:val="290"/>
        </w:trPr>
        <w:tc>
          <w:tcPr>
            <w:tcW w:w="9620" w:type="dxa"/>
            <w:shd w:val="clear" w:color="auto" w:fill="FFFFFF"/>
            <w:tcMar>
              <w:top w:w="0" w:type="dxa"/>
              <w:left w:w="108" w:type="dxa"/>
              <w:bottom w:w="0" w:type="dxa"/>
              <w:right w:w="108" w:type="dxa"/>
            </w:tcMar>
          </w:tcPr>
          <w:p w14:paraId="7505DAA8" w14:textId="1F8DA48A" w:rsidR="00775972" w:rsidRPr="00D02BE4" w:rsidRDefault="004B2626">
            <w:pPr>
              <w:pStyle w:val="Standard"/>
              <w:widowControl w:val="0"/>
              <w:tabs>
                <w:tab w:val="left" w:pos="318"/>
              </w:tabs>
              <w:jc w:val="center"/>
              <w:rPr>
                <w:sz w:val="24"/>
                <w:szCs w:val="24"/>
              </w:rPr>
            </w:pPr>
            <w:r w:rsidRPr="00D02BE4">
              <w:rPr>
                <w:sz w:val="24"/>
                <w:szCs w:val="24"/>
              </w:rPr>
              <w:t>202</w:t>
            </w:r>
            <w:r w:rsidR="004310AE">
              <w:rPr>
                <w:sz w:val="24"/>
                <w:szCs w:val="24"/>
              </w:rPr>
              <w:t>6</w:t>
            </w:r>
            <w:r w:rsidRPr="00D02BE4">
              <w:rPr>
                <w:sz w:val="24"/>
                <w:szCs w:val="24"/>
              </w:rPr>
              <w:t xml:space="preserve"> m.</w:t>
            </w:r>
            <w:r w:rsidR="00745CDB">
              <w:rPr>
                <w:sz w:val="24"/>
                <w:szCs w:val="24"/>
              </w:rPr>
              <w:t xml:space="preserve">          </w:t>
            </w:r>
            <w:r w:rsidRPr="00D02BE4">
              <w:rPr>
                <w:sz w:val="24"/>
                <w:szCs w:val="24"/>
              </w:rPr>
              <w:t xml:space="preserve">       d. Nr. A-</w:t>
            </w:r>
          </w:p>
          <w:p w14:paraId="7CA255DD" w14:textId="77777777" w:rsidR="00775972" w:rsidRPr="00D02BE4" w:rsidRDefault="004B2626">
            <w:pPr>
              <w:pStyle w:val="Standard"/>
              <w:widowControl w:val="0"/>
              <w:tabs>
                <w:tab w:val="left" w:pos="318"/>
              </w:tabs>
              <w:jc w:val="center"/>
              <w:rPr>
                <w:sz w:val="24"/>
                <w:szCs w:val="24"/>
              </w:rPr>
            </w:pPr>
            <w:r w:rsidRPr="00D02BE4">
              <w:rPr>
                <w:sz w:val="24"/>
                <w:szCs w:val="24"/>
              </w:rPr>
              <w:t>Šiauliai</w:t>
            </w:r>
          </w:p>
          <w:p w14:paraId="7308AA77" w14:textId="77777777" w:rsidR="00775972" w:rsidRPr="00D02BE4" w:rsidRDefault="00775972">
            <w:pPr>
              <w:pStyle w:val="Standard"/>
              <w:widowControl w:val="0"/>
              <w:tabs>
                <w:tab w:val="left" w:pos="318"/>
              </w:tabs>
              <w:jc w:val="center"/>
              <w:rPr>
                <w:sz w:val="24"/>
                <w:szCs w:val="24"/>
              </w:rPr>
            </w:pPr>
          </w:p>
        </w:tc>
      </w:tr>
    </w:tbl>
    <w:p w14:paraId="130DF3CD" w14:textId="0D7A87D8" w:rsidR="00775972" w:rsidRPr="00D02BE4" w:rsidRDefault="004B2626" w:rsidP="00940B14">
      <w:pPr>
        <w:pStyle w:val="Betarp"/>
        <w:ind w:firstLine="720"/>
        <w:jc w:val="both"/>
        <w:rPr>
          <w:sz w:val="24"/>
          <w:szCs w:val="24"/>
        </w:rPr>
      </w:pPr>
      <w:r w:rsidRPr="00D02BE4">
        <w:rPr>
          <w:sz w:val="24"/>
          <w:szCs w:val="24"/>
        </w:rPr>
        <w:t xml:space="preserve">Vadovaudamasi Lietuvos Respublikos vietos savivaldos įstatymo </w:t>
      </w:r>
      <w:r w:rsidR="00940B14" w:rsidRPr="00940B14">
        <w:rPr>
          <w:rFonts w:hint="eastAsia"/>
          <w:sz w:val="24"/>
          <w:szCs w:val="24"/>
        </w:rPr>
        <w:t>33 straipsnio 3 dalies 5</w:t>
      </w:r>
      <w:r w:rsidR="00940B14">
        <w:rPr>
          <w:sz w:val="24"/>
          <w:szCs w:val="24"/>
        </w:rPr>
        <w:t xml:space="preserve"> </w:t>
      </w:r>
      <w:r w:rsidR="00940B14" w:rsidRPr="00940B14">
        <w:rPr>
          <w:rFonts w:hint="eastAsia"/>
          <w:sz w:val="24"/>
          <w:szCs w:val="24"/>
        </w:rPr>
        <w:t>punktu</w:t>
      </w:r>
      <w:r w:rsidRPr="00D02BE4">
        <w:rPr>
          <w:sz w:val="24"/>
          <w:szCs w:val="24"/>
        </w:rPr>
        <w:t>, Lietuvos Respublikos teritorijų planavimo įstatymo 6 straipsnio 3 dalimi, Pasiūlymų teikimo dėl teritorijų planavimo proceso inicijavimo tvarkos aprašo, patvirtinto Lietuvos Respublikos Vyriausybės 2013 m. gruodžio 18 d. nutarimu Nr. 1265 „Dėl Pasiūlymų teikimo dėl teritorijų planavimo proceso inicijavimo tvarkos aprašo patvirtinimo“, 9, 10 punktais ir 13.1 papunkčiu, Kompleksinio teritorijų planavimo dokumentų rengimo taisyklių, patvirtintų Lietuvos Respublikos aplinkos ministro 2014 m. sausio 2 d. įsakymu Nr. D1-8 „Dėl Kompleksinio teritorijų planavimo dokumentų rengimo taisyklių patvirtinimo“, 312, 313 ir 316 punktais ir atsižvelgdama į</w:t>
      </w:r>
      <w:r w:rsidR="000C3AA7">
        <w:rPr>
          <w:sz w:val="24"/>
          <w:szCs w:val="24"/>
        </w:rPr>
        <w:t xml:space="preserve"> </w:t>
      </w:r>
      <w:r w:rsidR="00CB0469">
        <w:rPr>
          <w:sz w:val="24"/>
          <w:szCs w:val="24"/>
        </w:rPr>
        <w:t>B. P</w:t>
      </w:r>
      <w:r w:rsidR="00D731F9">
        <w:rPr>
          <w:sz w:val="24"/>
          <w:szCs w:val="24"/>
        </w:rPr>
        <w:t>.</w:t>
      </w:r>
      <w:r w:rsidR="00CB0469">
        <w:rPr>
          <w:sz w:val="24"/>
          <w:szCs w:val="24"/>
        </w:rPr>
        <w:t>, I. P.</w:t>
      </w:r>
      <w:r w:rsidR="00D731F9">
        <w:rPr>
          <w:sz w:val="24"/>
          <w:szCs w:val="24"/>
        </w:rPr>
        <w:t xml:space="preserve"> ir </w:t>
      </w:r>
      <w:r w:rsidR="00CB0469">
        <w:rPr>
          <w:sz w:val="24"/>
          <w:szCs w:val="24"/>
        </w:rPr>
        <w:t>L. P</w:t>
      </w:r>
      <w:r w:rsidR="00785039">
        <w:rPr>
          <w:sz w:val="24"/>
          <w:szCs w:val="24"/>
        </w:rPr>
        <w:t>.</w:t>
      </w:r>
      <w:r w:rsidR="00AD38FA" w:rsidRPr="00AD38FA">
        <w:rPr>
          <w:sz w:val="24"/>
          <w:szCs w:val="24"/>
        </w:rPr>
        <w:t xml:space="preserve"> 202</w:t>
      </w:r>
      <w:r w:rsidR="00053A28">
        <w:rPr>
          <w:sz w:val="24"/>
          <w:szCs w:val="24"/>
        </w:rPr>
        <w:t>6</w:t>
      </w:r>
      <w:r w:rsidR="00AD38FA" w:rsidRPr="00AD38FA">
        <w:rPr>
          <w:sz w:val="24"/>
          <w:szCs w:val="24"/>
        </w:rPr>
        <w:t xml:space="preserve"> m. </w:t>
      </w:r>
      <w:r w:rsidR="00332B17">
        <w:rPr>
          <w:sz w:val="24"/>
          <w:szCs w:val="24"/>
        </w:rPr>
        <w:t>liepos 13</w:t>
      </w:r>
      <w:r w:rsidR="00D731F9">
        <w:rPr>
          <w:sz w:val="24"/>
          <w:szCs w:val="24"/>
        </w:rPr>
        <w:t xml:space="preserve"> </w:t>
      </w:r>
      <w:r w:rsidR="00785039">
        <w:rPr>
          <w:sz w:val="24"/>
          <w:szCs w:val="24"/>
        </w:rPr>
        <w:t>d</w:t>
      </w:r>
      <w:r w:rsidR="00AD38FA" w:rsidRPr="00AD38FA">
        <w:rPr>
          <w:sz w:val="24"/>
          <w:szCs w:val="24"/>
        </w:rPr>
        <w:t>. prašymą</w:t>
      </w:r>
      <w:r w:rsidRPr="00FD6E6B">
        <w:rPr>
          <w:sz w:val="24"/>
          <w:szCs w:val="24"/>
        </w:rPr>
        <w:t>:</w:t>
      </w:r>
    </w:p>
    <w:p w14:paraId="0F6DA5B9" w14:textId="02EEAB82" w:rsidR="00184958" w:rsidRPr="00FC4576" w:rsidRDefault="00D87E9B" w:rsidP="00D87E9B">
      <w:pPr>
        <w:pStyle w:val="Betarp"/>
        <w:ind w:firstLine="720"/>
        <w:jc w:val="both"/>
        <w:rPr>
          <w:sz w:val="24"/>
          <w:szCs w:val="24"/>
        </w:rPr>
      </w:pPr>
      <w:r w:rsidRPr="00D87E9B">
        <w:rPr>
          <w:sz w:val="24"/>
          <w:szCs w:val="24"/>
        </w:rPr>
        <w:t>1.</w:t>
      </w:r>
      <w:r>
        <w:rPr>
          <w:sz w:val="24"/>
          <w:szCs w:val="24"/>
        </w:rPr>
        <w:t xml:space="preserve"> </w:t>
      </w:r>
      <w:r w:rsidR="004B2626" w:rsidRPr="00D02BE4">
        <w:rPr>
          <w:sz w:val="24"/>
          <w:szCs w:val="24"/>
        </w:rPr>
        <w:t>P r i t a r i u planavimo iniciator</w:t>
      </w:r>
      <w:r w:rsidR="006F215D" w:rsidRPr="00D02BE4">
        <w:rPr>
          <w:sz w:val="24"/>
          <w:szCs w:val="24"/>
        </w:rPr>
        <w:t>i</w:t>
      </w:r>
      <w:r w:rsidR="0002556A" w:rsidRPr="00D02BE4">
        <w:rPr>
          <w:sz w:val="24"/>
          <w:szCs w:val="24"/>
        </w:rPr>
        <w:t>aus</w:t>
      </w:r>
      <w:r w:rsidR="004B2626" w:rsidRPr="00D02BE4">
        <w:rPr>
          <w:sz w:val="24"/>
          <w:szCs w:val="24"/>
        </w:rPr>
        <w:t xml:space="preserve"> pateiktam pasiūlymui inicijuoti</w:t>
      </w:r>
      <w:r w:rsidR="0002556A" w:rsidRPr="00D02BE4">
        <w:rPr>
          <w:sz w:val="24"/>
          <w:szCs w:val="24"/>
        </w:rPr>
        <w:t xml:space="preserve"> detaliojo plano, patvirtinto Šiaulių rajono savivaldybės</w:t>
      </w:r>
      <w:r w:rsidR="00107137">
        <w:rPr>
          <w:sz w:val="24"/>
          <w:szCs w:val="24"/>
        </w:rPr>
        <w:t xml:space="preserve"> administracijos</w:t>
      </w:r>
      <w:r w:rsidR="0002556A" w:rsidRPr="00D02BE4">
        <w:rPr>
          <w:sz w:val="24"/>
          <w:szCs w:val="24"/>
        </w:rPr>
        <w:t xml:space="preserve"> </w:t>
      </w:r>
      <w:r w:rsidR="00DE7123">
        <w:rPr>
          <w:sz w:val="24"/>
          <w:szCs w:val="24"/>
        </w:rPr>
        <w:t>direktoriaus</w:t>
      </w:r>
      <w:r w:rsidR="00CD6B95">
        <w:rPr>
          <w:sz w:val="24"/>
          <w:szCs w:val="24"/>
        </w:rPr>
        <w:t xml:space="preserve"> </w:t>
      </w:r>
      <w:r w:rsidR="0002556A" w:rsidRPr="008705E8">
        <w:rPr>
          <w:sz w:val="24"/>
          <w:szCs w:val="24"/>
        </w:rPr>
        <w:t>20</w:t>
      </w:r>
      <w:r w:rsidR="00191021">
        <w:rPr>
          <w:sz w:val="24"/>
          <w:szCs w:val="24"/>
        </w:rPr>
        <w:t>04</w:t>
      </w:r>
      <w:r w:rsidR="0002556A" w:rsidRPr="008705E8">
        <w:rPr>
          <w:sz w:val="24"/>
          <w:szCs w:val="24"/>
        </w:rPr>
        <w:t xml:space="preserve"> m. </w:t>
      </w:r>
      <w:r w:rsidR="00DE7123">
        <w:rPr>
          <w:sz w:val="24"/>
          <w:szCs w:val="24"/>
        </w:rPr>
        <w:t>gegužės</w:t>
      </w:r>
      <w:r w:rsidR="00191021">
        <w:rPr>
          <w:sz w:val="24"/>
          <w:szCs w:val="24"/>
        </w:rPr>
        <w:t xml:space="preserve"> </w:t>
      </w:r>
      <w:r w:rsidR="00DE7123">
        <w:rPr>
          <w:sz w:val="24"/>
          <w:szCs w:val="24"/>
        </w:rPr>
        <w:t>6</w:t>
      </w:r>
      <w:r w:rsidR="0026153C">
        <w:rPr>
          <w:sz w:val="24"/>
          <w:szCs w:val="24"/>
        </w:rPr>
        <w:t xml:space="preserve"> </w:t>
      </w:r>
      <w:r w:rsidR="0002556A" w:rsidRPr="008705E8">
        <w:rPr>
          <w:sz w:val="24"/>
          <w:szCs w:val="24"/>
        </w:rPr>
        <w:t xml:space="preserve">d. </w:t>
      </w:r>
      <w:r w:rsidR="00397AA1">
        <w:rPr>
          <w:sz w:val="24"/>
          <w:szCs w:val="24"/>
        </w:rPr>
        <w:t>įsakymu</w:t>
      </w:r>
      <w:r w:rsidR="0002556A" w:rsidRPr="008705E8">
        <w:rPr>
          <w:sz w:val="24"/>
          <w:szCs w:val="24"/>
        </w:rPr>
        <w:t xml:space="preserve"> Nr. </w:t>
      </w:r>
      <w:r w:rsidR="000B678D">
        <w:rPr>
          <w:sz w:val="24"/>
          <w:szCs w:val="24"/>
        </w:rPr>
        <w:t>A-235</w:t>
      </w:r>
      <w:r w:rsidR="0002556A" w:rsidRPr="008705E8">
        <w:rPr>
          <w:sz w:val="24"/>
          <w:szCs w:val="24"/>
        </w:rPr>
        <w:t xml:space="preserve"> „</w:t>
      </w:r>
      <w:r w:rsidR="0071285D" w:rsidRPr="0071285D">
        <w:rPr>
          <w:sz w:val="24"/>
          <w:szCs w:val="24"/>
        </w:rPr>
        <w:t>Dėl detali</w:t>
      </w:r>
      <w:r w:rsidR="00D44396">
        <w:rPr>
          <w:sz w:val="24"/>
          <w:szCs w:val="24"/>
        </w:rPr>
        <w:t>ojo</w:t>
      </w:r>
      <w:r w:rsidR="0071285D" w:rsidRPr="0071285D">
        <w:rPr>
          <w:sz w:val="24"/>
          <w:szCs w:val="24"/>
        </w:rPr>
        <w:t xml:space="preserve"> plan</w:t>
      </w:r>
      <w:r w:rsidR="00D44396">
        <w:rPr>
          <w:sz w:val="24"/>
          <w:szCs w:val="24"/>
        </w:rPr>
        <w:t>o</w:t>
      </w:r>
      <w:r w:rsidR="0071285D" w:rsidRPr="0071285D">
        <w:rPr>
          <w:sz w:val="24"/>
          <w:szCs w:val="24"/>
        </w:rPr>
        <w:t xml:space="preserve"> </w:t>
      </w:r>
      <w:r w:rsidR="002C2525">
        <w:rPr>
          <w:sz w:val="24"/>
          <w:szCs w:val="24"/>
        </w:rPr>
        <w:t>tvirtinimo</w:t>
      </w:r>
      <w:r w:rsidR="008705E8" w:rsidRPr="008705E8">
        <w:rPr>
          <w:sz w:val="24"/>
          <w:szCs w:val="24"/>
        </w:rPr>
        <w:t>“</w:t>
      </w:r>
      <w:r w:rsidR="0002556A" w:rsidRPr="008705E8">
        <w:rPr>
          <w:sz w:val="24"/>
          <w:szCs w:val="24"/>
        </w:rPr>
        <w:t>, koregavimą</w:t>
      </w:r>
      <w:r w:rsidR="004701BE">
        <w:rPr>
          <w:sz w:val="24"/>
          <w:szCs w:val="24"/>
        </w:rPr>
        <w:t xml:space="preserve"> </w:t>
      </w:r>
      <w:r w:rsidR="00BE3C11">
        <w:rPr>
          <w:sz w:val="24"/>
          <w:szCs w:val="24"/>
        </w:rPr>
        <w:t xml:space="preserve">Gegužių k., Šiaulių k. sen., Šiaulių r. sav. (sklypo unikalus </w:t>
      </w:r>
      <w:r w:rsidR="00BE3C11" w:rsidRPr="00BE3C11">
        <w:rPr>
          <w:sz w:val="24"/>
          <w:szCs w:val="24"/>
        </w:rPr>
        <w:t xml:space="preserve">Nr. </w:t>
      </w:r>
      <w:r w:rsidR="00BE3C11">
        <w:rPr>
          <w:sz w:val="24"/>
          <w:szCs w:val="24"/>
        </w:rPr>
        <w:t>4400-6120-6584</w:t>
      </w:r>
      <w:r w:rsidR="00BE3C11" w:rsidRPr="00BE3C11">
        <w:rPr>
          <w:sz w:val="24"/>
          <w:szCs w:val="24"/>
        </w:rPr>
        <w:t>), kurį finansuos pareiškėjas (planavimo iniciatorius)</w:t>
      </w:r>
      <w:r w:rsidR="00BE3C11">
        <w:rPr>
          <w:sz w:val="24"/>
          <w:szCs w:val="24"/>
        </w:rPr>
        <w:t>.</w:t>
      </w:r>
    </w:p>
    <w:p w14:paraId="3D4E8326" w14:textId="68488E50" w:rsidR="00B44D68" w:rsidRDefault="004B2626" w:rsidP="00DE0447">
      <w:pPr>
        <w:pStyle w:val="Betarp"/>
        <w:ind w:firstLine="720"/>
        <w:jc w:val="both"/>
        <w:rPr>
          <w:color w:val="auto"/>
          <w:sz w:val="24"/>
          <w:szCs w:val="24"/>
        </w:rPr>
      </w:pPr>
      <w:r w:rsidRPr="002B77B2">
        <w:rPr>
          <w:sz w:val="24"/>
          <w:szCs w:val="24"/>
        </w:rPr>
        <w:t>2. O r g a n i z u o j</w:t>
      </w:r>
      <w:r w:rsidR="003B24E8" w:rsidRPr="002B77B2">
        <w:rPr>
          <w:sz w:val="24"/>
          <w:szCs w:val="24"/>
        </w:rPr>
        <w:t xml:space="preserve"> u </w:t>
      </w:r>
      <w:r w:rsidR="002C5821" w:rsidRPr="002B77B2">
        <w:rPr>
          <w:rFonts w:hint="eastAsia"/>
          <w:sz w:val="24"/>
          <w:szCs w:val="24"/>
        </w:rPr>
        <w:t xml:space="preserve">detaliojo plano, patvirtinto Šiaulių rajono savivaldybės </w:t>
      </w:r>
      <w:r w:rsidR="00FD0FDD">
        <w:rPr>
          <w:sz w:val="24"/>
          <w:szCs w:val="24"/>
        </w:rPr>
        <w:t>administracijos direktoriaus</w:t>
      </w:r>
      <w:r w:rsidR="00F96560" w:rsidRPr="00F96560">
        <w:rPr>
          <w:rFonts w:hint="eastAsia"/>
          <w:sz w:val="24"/>
          <w:szCs w:val="24"/>
        </w:rPr>
        <w:t xml:space="preserve"> 20</w:t>
      </w:r>
      <w:r w:rsidR="00DE0447">
        <w:rPr>
          <w:sz w:val="24"/>
          <w:szCs w:val="24"/>
        </w:rPr>
        <w:t>04</w:t>
      </w:r>
      <w:r w:rsidR="00F96560" w:rsidRPr="00F96560">
        <w:rPr>
          <w:rFonts w:hint="eastAsia"/>
          <w:sz w:val="24"/>
          <w:szCs w:val="24"/>
        </w:rPr>
        <w:t xml:space="preserve"> m. </w:t>
      </w:r>
      <w:r w:rsidR="00591855">
        <w:rPr>
          <w:sz w:val="24"/>
          <w:szCs w:val="24"/>
        </w:rPr>
        <w:t>gegužės 6</w:t>
      </w:r>
      <w:r w:rsidR="00F96560" w:rsidRPr="00F96560">
        <w:rPr>
          <w:rFonts w:hint="eastAsia"/>
          <w:sz w:val="24"/>
          <w:szCs w:val="24"/>
        </w:rPr>
        <w:t xml:space="preserve"> d. </w:t>
      </w:r>
      <w:r w:rsidR="00591855" w:rsidRPr="00591855">
        <w:rPr>
          <w:rFonts w:hint="eastAsia"/>
          <w:sz w:val="24"/>
          <w:szCs w:val="24"/>
        </w:rPr>
        <w:t>į</w:t>
      </w:r>
      <w:r w:rsidR="00591855" w:rsidRPr="00591855">
        <w:rPr>
          <w:sz w:val="24"/>
          <w:szCs w:val="24"/>
        </w:rPr>
        <w:t>s</w:t>
      </w:r>
      <w:r w:rsidR="00591855">
        <w:rPr>
          <w:rFonts w:eastAsia="DengXian"/>
          <w:sz w:val="24"/>
          <w:szCs w:val="24"/>
        </w:rPr>
        <w:t>akymu</w:t>
      </w:r>
      <w:r w:rsidR="00F96560" w:rsidRPr="00F96560">
        <w:rPr>
          <w:rFonts w:hint="eastAsia"/>
          <w:sz w:val="24"/>
          <w:szCs w:val="24"/>
        </w:rPr>
        <w:t xml:space="preserve"> Nr. </w:t>
      </w:r>
      <w:r w:rsidR="0035587D" w:rsidRPr="0035587D">
        <w:rPr>
          <w:sz w:val="24"/>
          <w:szCs w:val="24"/>
        </w:rPr>
        <w:t>A-235 „Dėl detaliojo plano tvirtinimo</w:t>
      </w:r>
      <w:r w:rsidR="002C5821" w:rsidRPr="002B77B2">
        <w:rPr>
          <w:rFonts w:hint="eastAsia"/>
          <w:sz w:val="24"/>
          <w:szCs w:val="24"/>
        </w:rPr>
        <w:t>“</w:t>
      </w:r>
      <w:r w:rsidR="003B24E8" w:rsidRPr="002B77B2">
        <w:rPr>
          <w:sz w:val="24"/>
          <w:szCs w:val="24"/>
        </w:rPr>
        <w:t>, koregavimą</w:t>
      </w:r>
      <w:r w:rsidRPr="002B77B2">
        <w:rPr>
          <w:sz w:val="24"/>
          <w:szCs w:val="24"/>
        </w:rPr>
        <w:t xml:space="preserve">, kurio </w:t>
      </w:r>
      <w:r w:rsidR="00C414BC" w:rsidRPr="002B77B2">
        <w:rPr>
          <w:sz w:val="24"/>
          <w:szCs w:val="24"/>
        </w:rPr>
        <w:t xml:space="preserve">planavimo </w:t>
      </w:r>
      <w:r w:rsidRPr="002B77B2">
        <w:rPr>
          <w:sz w:val="24"/>
          <w:szCs w:val="24"/>
        </w:rPr>
        <w:t>tikslas</w:t>
      </w:r>
      <w:r w:rsidR="00DE0447">
        <w:rPr>
          <w:sz w:val="24"/>
          <w:szCs w:val="24"/>
        </w:rPr>
        <w:t xml:space="preserve"> </w:t>
      </w:r>
      <w:r w:rsidR="00582A68" w:rsidRPr="002B77B2">
        <w:rPr>
          <w:color w:val="auto"/>
          <w:sz w:val="24"/>
          <w:szCs w:val="24"/>
        </w:rPr>
        <w:t>–</w:t>
      </w:r>
      <w:bookmarkStart w:id="0" w:name="_Hlk135660045"/>
      <w:r w:rsidR="00DE0447">
        <w:rPr>
          <w:color w:val="auto"/>
          <w:sz w:val="24"/>
          <w:szCs w:val="24"/>
        </w:rPr>
        <w:t xml:space="preserve"> </w:t>
      </w:r>
      <w:r w:rsidR="005A3694">
        <w:rPr>
          <w:color w:val="auto"/>
          <w:sz w:val="24"/>
          <w:szCs w:val="24"/>
        </w:rPr>
        <w:t xml:space="preserve">padalinti žemės ūkio paskirties sklypą </w:t>
      </w:r>
      <w:r w:rsidR="005A3694" w:rsidRPr="005A3694">
        <w:rPr>
          <w:color w:val="auto"/>
          <w:sz w:val="24"/>
          <w:szCs w:val="24"/>
        </w:rPr>
        <w:t>Gegužių k., Šiaulių k. sen., Šiaulių r. sav. (sklypo unikalus Nr. 4400-6120-6584)</w:t>
      </w:r>
      <w:r w:rsidR="005A3694">
        <w:rPr>
          <w:color w:val="auto"/>
          <w:sz w:val="24"/>
          <w:szCs w:val="24"/>
        </w:rPr>
        <w:t xml:space="preserve">, suformuoti </w:t>
      </w:r>
      <w:r w:rsidR="00DC1722">
        <w:rPr>
          <w:color w:val="auto"/>
          <w:sz w:val="24"/>
          <w:szCs w:val="24"/>
        </w:rPr>
        <w:t>inžinerinės infrastruktūros sklypus</w:t>
      </w:r>
      <w:r w:rsidR="006924F5">
        <w:rPr>
          <w:color w:val="auto"/>
          <w:sz w:val="24"/>
          <w:szCs w:val="24"/>
        </w:rPr>
        <w:t xml:space="preserve">, kurių </w:t>
      </w:r>
      <w:r w:rsidR="00D56B3C">
        <w:rPr>
          <w:color w:val="auto"/>
          <w:sz w:val="24"/>
          <w:szCs w:val="24"/>
        </w:rPr>
        <w:t xml:space="preserve">paskirtis – kita, naudojimo būdas – susisiekimo ir inžinerinių tinklų koridorių teritorijos, </w:t>
      </w:r>
      <w:bookmarkEnd w:id="0"/>
      <w:r w:rsidR="00B75D08" w:rsidRPr="00DE0447">
        <w:rPr>
          <w:color w:val="auto"/>
          <w:sz w:val="24"/>
          <w:szCs w:val="24"/>
        </w:rPr>
        <w:t>vadovaujantis Šiaulių rajono savivaldybės teritorijos bendrojo plano keitimo koregavimo planu, patvirtintu Šiaulių rajono savivaldybės tarybos 2025 m. rugsėjo 9 d. sprendimu Nr. T-210 „Dėl Šiaulių rajono savivaldybės teritorijos bendrojo plano keitimo koregavimo patvirtinimo“</w:t>
      </w:r>
      <w:r w:rsidR="00B44D68" w:rsidRPr="00B44D68">
        <w:rPr>
          <w:color w:val="auto"/>
          <w:sz w:val="24"/>
          <w:szCs w:val="24"/>
        </w:rPr>
        <w:t xml:space="preserve">. </w:t>
      </w:r>
      <w:r w:rsidR="00523F88" w:rsidRPr="00523F88">
        <w:rPr>
          <w:rFonts w:hint="eastAsia"/>
          <w:color w:val="auto"/>
          <w:sz w:val="24"/>
          <w:szCs w:val="24"/>
        </w:rPr>
        <w:t>Ž</w:t>
      </w:r>
      <w:r w:rsidR="00523F88" w:rsidRPr="00523F88">
        <w:rPr>
          <w:color w:val="auto"/>
          <w:sz w:val="24"/>
          <w:szCs w:val="24"/>
        </w:rPr>
        <w:t xml:space="preserve">emės sklypo plotas </w:t>
      </w:r>
      <w:r w:rsidR="00D56B3C">
        <w:rPr>
          <w:color w:val="auto"/>
          <w:sz w:val="24"/>
          <w:szCs w:val="24"/>
        </w:rPr>
        <w:t>2,4617</w:t>
      </w:r>
      <w:r w:rsidR="00523F88" w:rsidRPr="00523F88">
        <w:rPr>
          <w:color w:val="auto"/>
          <w:sz w:val="24"/>
          <w:szCs w:val="24"/>
        </w:rPr>
        <w:t xml:space="preserve"> ha.</w:t>
      </w:r>
    </w:p>
    <w:p w14:paraId="0A7AFCBB" w14:textId="15D838DC" w:rsidR="00775972" w:rsidRPr="00CB543A" w:rsidRDefault="004B2626" w:rsidP="00FC4576">
      <w:pPr>
        <w:pStyle w:val="Betarp"/>
        <w:ind w:firstLine="720"/>
        <w:jc w:val="both"/>
        <w:rPr>
          <w:sz w:val="24"/>
          <w:szCs w:val="24"/>
        </w:rPr>
      </w:pPr>
      <w:r w:rsidRPr="00CB543A">
        <w:rPr>
          <w:sz w:val="24"/>
          <w:szCs w:val="24"/>
        </w:rPr>
        <w:t>3. Į p a r e i g o j u</w:t>
      </w:r>
      <w:r w:rsidR="00CB543A">
        <w:rPr>
          <w:sz w:val="24"/>
          <w:szCs w:val="24"/>
        </w:rPr>
        <w:t xml:space="preserve">, priėmus sprendimą, </w:t>
      </w:r>
      <w:r w:rsidRPr="00CB543A">
        <w:rPr>
          <w:sz w:val="24"/>
          <w:szCs w:val="24"/>
        </w:rPr>
        <w:t>Architektūros ir paveldosaugos skyriaus vedėją organizuoti per 5 darbo dienas teritorijų planavimo inicijavimo sutarties projekto parengimą 1 ir 2 punktuose nurodyto detaliojo plano k</w:t>
      </w:r>
      <w:r w:rsidR="0098423A">
        <w:rPr>
          <w:sz w:val="24"/>
          <w:szCs w:val="24"/>
        </w:rPr>
        <w:t>oregavimui</w:t>
      </w:r>
      <w:r w:rsidRPr="00CB543A">
        <w:rPr>
          <w:sz w:val="24"/>
          <w:szCs w:val="24"/>
        </w:rPr>
        <w:t xml:space="preserve"> ir teisės aktų nustatyta tvarka informuoti planavimo iniciatorių bei užtikrinti teritorijų planavimo proceso procedūrų vykdymą per TPDRIS.</w:t>
      </w:r>
    </w:p>
    <w:p w14:paraId="0F781921" w14:textId="5D5111A0" w:rsidR="00775972" w:rsidRPr="00D02BE4" w:rsidRDefault="004B2626" w:rsidP="00FC4576">
      <w:pPr>
        <w:pStyle w:val="Betarp"/>
        <w:ind w:firstLine="720"/>
        <w:jc w:val="both"/>
        <w:rPr>
          <w:sz w:val="24"/>
          <w:szCs w:val="24"/>
        </w:rPr>
      </w:pPr>
      <w:r w:rsidRPr="00CB543A">
        <w:rPr>
          <w:sz w:val="24"/>
          <w:szCs w:val="24"/>
        </w:rPr>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administracinio teismo Šiaulių rūmams (Dvaro g. 80, Šiauliai) Lietuvos Respublikos administracinių bylų teisenos įstatymo nustatyta tvarka.</w:t>
      </w:r>
    </w:p>
    <w:p w14:paraId="70712150" w14:textId="77777777" w:rsidR="00AD3FEF" w:rsidRDefault="00AD3FEF">
      <w:pPr>
        <w:pStyle w:val="Betarp"/>
        <w:jc w:val="both"/>
        <w:rPr>
          <w:sz w:val="24"/>
          <w:szCs w:val="24"/>
        </w:rPr>
      </w:pPr>
    </w:p>
    <w:p w14:paraId="15929855" w14:textId="77777777" w:rsidR="00AD3FEF" w:rsidRPr="00D02BE4" w:rsidRDefault="00AD3FEF">
      <w:pPr>
        <w:pStyle w:val="Betarp"/>
        <w:jc w:val="both"/>
        <w:rPr>
          <w:sz w:val="24"/>
          <w:szCs w:val="24"/>
        </w:rPr>
      </w:pPr>
    </w:p>
    <w:p w14:paraId="637A5AAC" w14:textId="77777777" w:rsidR="0072607D" w:rsidRPr="00E3665E" w:rsidRDefault="0072607D" w:rsidP="0072607D">
      <w:pPr>
        <w:rPr>
          <w:rFonts w:ascii="Times New Roman" w:hAnsi="Times New Roman" w:cs="Times New Roman"/>
          <w:lang w:eastAsia="lt-LT"/>
        </w:rPr>
      </w:pPr>
      <w:r w:rsidRPr="00E3665E">
        <w:rPr>
          <w:rFonts w:ascii="Times New Roman" w:hAnsi="Times New Roman" w:cs="Times New Roman"/>
          <w:lang w:eastAsia="lt-LT"/>
        </w:rPr>
        <w:t>Teisės ir personalo skyriaus vedėja,</w:t>
      </w:r>
    </w:p>
    <w:p w14:paraId="67F5631B" w14:textId="77777777" w:rsidR="0072607D" w:rsidRPr="00E3665E" w:rsidRDefault="0072607D" w:rsidP="0072607D">
      <w:pPr>
        <w:rPr>
          <w:rFonts w:ascii="Times New Roman" w:hAnsi="Times New Roman" w:cs="Times New Roman"/>
        </w:rPr>
      </w:pPr>
      <w:r w:rsidRPr="00E3665E">
        <w:rPr>
          <w:rFonts w:ascii="Times New Roman" w:hAnsi="Times New Roman" w:cs="Times New Roman"/>
          <w:lang w:eastAsia="lt-LT"/>
        </w:rPr>
        <w:t>pavaduojanti administracijos direktorių</w:t>
      </w:r>
      <w:r w:rsidRPr="00E3665E">
        <w:rPr>
          <w:rFonts w:ascii="Times New Roman" w:hAnsi="Times New Roman" w:cs="Times New Roman"/>
          <w:lang w:eastAsia="lt-LT"/>
        </w:rPr>
        <w:tab/>
      </w:r>
      <w:r w:rsidRPr="00E3665E">
        <w:rPr>
          <w:rFonts w:ascii="Times New Roman" w:hAnsi="Times New Roman" w:cs="Times New Roman"/>
          <w:lang w:eastAsia="lt-LT"/>
        </w:rPr>
        <w:tab/>
      </w:r>
      <w:r w:rsidRPr="00E3665E">
        <w:rPr>
          <w:rFonts w:ascii="Times New Roman" w:hAnsi="Times New Roman" w:cs="Times New Roman"/>
          <w:lang w:eastAsia="lt-LT"/>
        </w:rPr>
        <w:tab/>
      </w:r>
      <w:r w:rsidRPr="00E3665E">
        <w:rPr>
          <w:rFonts w:ascii="Times New Roman" w:hAnsi="Times New Roman" w:cs="Times New Roman"/>
          <w:lang w:eastAsia="lt-LT"/>
        </w:rPr>
        <w:tab/>
      </w:r>
      <w:r w:rsidRPr="00E3665E">
        <w:rPr>
          <w:rFonts w:ascii="Times New Roman" w:hAnsi="Times New Roman" w:cs="Times New Roman"/>
          <w:lang w:eastAsia="lt-LT"/>
        </w:rPr>
        <w:tab/>
      </w:r>
      <w:r>
        <w:rPr>
          <w:rFonts w:ascii="Times New Roman" w:hAnsi="Times New Roman" w:cs="Times New Roman"/>
          <w:lang w:eastAsia="lt-LT"/>
        </w:rPr>
        <w:t xml:space="preserve">           </w:t>
      </w:r>
      <w:r w:rsidRPr="00E3665E">
        <w:rPr>
          <w:rFonts w:ascii="Times New Roman" w:hAnsi="Times New Roman" w:cs="Times New Roman"/>
          <w:lang w:eastAsia="lt-LT"/>
        </w:rPr>
        <w:t xml:space="preserve">   Jurgita </w:t>
      </w:r>
      <w:proofErr w:type="spellStart"/>
      <w:r w:rsidRPr="00E3665E">
        <w:rPr>
          <w:rFonts w:ascii="Times New Roman" w:hAnsi="Times New Roman" w:cs="Times New Roman"/>
          <w:lang w:eastAsia="lt-LT"/>
        </w:rPr>
        <w:t>Mickūnė</w:t>
      </w:r>
      <w:proofErr w:type="spellEnd"/>
    </w:p>
    <w:p w14:paraId="68ECD318" w14:textId="60C793B4" w:rsidR="00775972" w:rsidRPr="00D02BE4" w:rsidRDefault="00775972" w:rsidP="0072607D">
      <w:pPr>
        <w:pStyle w:val="Textbody"/>
        <w:spacing w:after="0"/>
        <w:ind w:right="-150"/>
        <w:rPr>
          <w:szCs w:val="24"/>
        </w:rPr>
      </w:pPr>
    </w:p>
    <w:sectPr w:rsidR="00775972" w:rsidRPr="00D02BE4">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E046" w14:textId="77777777" w:rsidR="00095965" w:rsidRDefault="00095965">
      <w:pPr>
        <w:rPr>
          <w:rFonts w:hint="eastAsia"/>
        </w:rPr>
      </w:pPr>
      <w:r>
        <w:separator/>
      </w:r>
    </w:p>
  </w:endnote>
  <w:endnote w:type="continuationSeparator" w:id="0">
    <w:p w14:paraId="39B1D778" w14:textId="77777777" w:rsidR="00095965" w:rsidRDefault="00095965">
      <w:pPr>
        <w:rPr>
          <w:rFonts w:hint="eastAsia"/>
        </w:rPr>
      </w:pPr>
      <w:r>
        <w:continuationSeparator/>
      </w:r>
    </w:p>
  </w:endnote>
  <w:endnote w:type="continuationNotice" w:id="1">
    <w:p w14:paraId="0A0C66D8" w14:textId="77777777" w:rsidR="00095965" w:rsidRDefault="0009596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font>
  <w:font w:name="Droid Sans Fallback">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6F53" w14:textId="77777777" w:rsidR="00095965" w:rsidRDefault="00095965">
      <w:pPr>
        <w:rPr>
          <w:rFonts w:hint="eastAsia"/>
        </w:rPr>
      </w:pPr>
      <w:r>
        <w:rPr>
          <w:color w:val="000000"/>
        </w:rPr>
        <w:separator/>
      </w:r>
    </w:p>
  </w:footnote>
  <w:footnote w:type="continuationSeparator" w:id="0">
    <w:p w14:paraId="01C3D370" w14:textId="77777777" w:rsidR="00095965" w:rsidRDefault="00095965">
      <w:pPr>
        <w:rPr>
          <w:rFonts w:hint="eastAsia"/>
        </w:rPr>
      </w:pPr>
      <w:r>
        <w:continuationSeparator/>
      </w:r>
    </w:p>
  </w:footnote>
  <w:footnote w:type="continuationNotice" w:id="1">
    <w:p w14:paraId="3787F622" w14:textId="77777777" w:rsidR="00095965" w:rsidRDefault="00095965">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8EF"/>
    <w:multiLevelType w:val="hybridMultilevel"/>
    <w:tmpl w:val="55E46AC2"/>
    <w:lvl w:ilvl="0" w:tplc="20BE8F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91A3A38"/>
    <w:multiLevelType w:val="hybridMultilevel"/>
    <w:tmpl w:val="74D235A2"/>
    <w:lvl w:ilvl="0" w:tplc="5AB89F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7FA68EA"/>
    <w:multiLevelType w:val="multilevel"/>
    <w:tmpl w:val="2E0A89B8"/>
    <w:styleLink w:val="WWNum1"/>
    <w:lvl w:ilvl="0">
      <w:start w:val="1"/>
      <w:numFmt w:val="none"/>
      <w:lvlText w:val="%1"/>
      <w:lvlJc w:val="left"/>
      <w:pPr>
        <w:ind w:left="720" w:firstLine="0"/>
      </w:pPr>
    </w:lvl>
    <w:lvl w:ilvl="1">
      <w:start w:val="1"/>
      <w:numFmt w:val="none"/>
      <w:lvlText w:val="%2"/>
      <w:lvlJc w:val="left"/>
      <w:pPr>
        <w:ind w:left="1080" w:firstLine="0"/>
      </w:pPr>
    </w:lvl>
    <w:lvl w:ilvl="2">
      <w:start w:val="1"/>
      <w:numFmt w:val="none"/>
      <w:lvlText w:val="%3"/>
      <w:lvlJc w:val="left"/>
      <w:pPr>
        <w:ind w:left="1440" w:firstLine="0"/>
      </w:pPr>
    </w:lvl>
    <w:lvl w:ilvl="3">
      <w:start w:val="1"/>
      <w:numFmt w:val="none"/>
      <w:lvlText w:val="%4"/>
      <w:lvlJc w:val="left"/>
      <w:pPr>
        <w:ind w:left="1800" w:firstLine="0"/>
      </w:pPr>
    </w:lvl>
    <w:lvl w:ilvl="4">
      <w:start w:val="1"/>
      <w:numFmt w:val="none"/>
      <w:lvlText w:val="%5"/>
      <w:lvlJc w:val="left"/>
      <w:pPr>
        <w:ind w:left="2160" w:firstLine="0"/>
      </w:pPr>
    </w:lvl>
    <w:lvl w:ilvl="5">
      <w:start w:val="1"/>
      <w:numFmt w:val="none"/>
      <w:lvlText w:val="%6"/>
      <w:lvlJc w:val="left"/>
      <w:pPr>
        <w:ind w:left="2520" w:firstLine="0"/>
      </w:pPr>
    </w:lvl>
    <w:lvl w:ilvl="6">
      <w:start w:val="1"/>
      <w:numFmt w:val="none"/>
      <w:lvlText w:val="%7"/>
      <w:lvlJc w:val="left"/>
      <w:pPr>
        <w:ind w:left="2880" w:firstLine="0"/>
      </w:pPr>
    </w:lvl>
    <w:lvl w:ilvl="7">
      <w:start w:val="1"/>
      <w:numFmt w:val="none"/>
      <w:lvlText w:val="%8"/>
      <w:lvlJc w:val="left"/>
      <w:pPr>
        <w:ind w:left="3240" w:firstLine="0"/>
      </w:pPr>
    </w:lvl>
    <w:lvl w:ilvl="8">
      <w:start w:val="1"/>
      <w:numFmt w:val="none"/>
      <w:lvlText w:val="%9"/>
      <w:lvlJc w:val="left"/>
      <w:pPr>
        <w:ind w:left="3600" w:firstLine="0"/>
      </w:pPr>
    </w:lvl>
  </w:abstractNum>
  <w:abstractNum w:abstractNumId="3" w15:restartNumberingAfterBreak="0">
    <w:nsid w:val="6E7C6CAD"/>
    <w:multiLevelType w:val="multilevel"/>
    <w:tmpl w:val="FA7646D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39815739">
    <w:abstractNumId w:val="2"/>
  </w:num>
  <w:num w:numId="2" w16cid:durableId="2002350565">
    <w:abstractNumId w:val="3"/>
  </w:num>
  <w:num w:numId="3" w16cid:durableId="633174929">
    <w:abstractNumId w:val="1"/>
  </w:num>
  <w:num w:numId="4" w16cid:durableId="21315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72"/>
    <w:rsid w:val="000003B5"/>
    <w:rsid w:val="00016048"/>
    <w:rsid w:val="0002556A"/>
    <w:rsid w:val="00050207"/>
    <w:rsid w:val="00053A28"/>
    <w:rsid w:val="00055732"/>
    <w:rsid w:val="00066324"/>
    <w:rsid w:val="0007213C"/>
    <w:rsid w:val="00095965"/>
    <w:rsid w:val="000A3038"/>
    <w:rsid w:val="000B2F78"/>
    <w:rsid w:val="000B3153"/>
    <w:rsid w:val="000B678D"/>
    <w:rsid w:val="000B7E5E"/>
    <w:rsid w:val="000C087E"/>
    <w:rsid w:val="000C3AA7"/>
    <w:rsid w:val="000D68C9"/>
    <w:rsid w:val="00107137"/>
    <w:rsid w:val="00124B01"/>
    <w:rsid w:val="00140784"/>
    <w:rsid w:val="00144A56"/>
    <w:rsid w:val="001474D6"/>
    <w:rsid w:val="00156D6A"/>
    <w:rsid w:val="00161866"/>
    <w:rsid w:val="00184958"/>
    <w:rsid w:val="00184F97"/>
    <w:rsid w:val="00191021"/>
    <w:rsid w:val="00195319"/>
    <w:rsid w:val="001B0FB7"/>
    <w:rsid w:val="001C163D"/>
    <w:rsid w:val="001C1A37"/>
    <w:rsid w:val="001C5AA0"/>
    <w:rsid w:val="001D6B0F"/>
    <w:rsid w:val="002010ED"/>
    <w:rsid w:val="00221B05"/>
    <w:rsid w:val="002456BC"/>
    <w:rsid w:val="00251D82"/>
    <w:rsid w:val="0026153C"/>
    <w:rsid w:val="002659A9"/>
    <w:rsid w:val="00287E77"/>
    <w:rsid w:val="002B77B2"/>
    <w:rsid w:val="002C2525"/>
    <w:rsid w:val="002C5821"/>
    <w:rsid w:val="002D44B4"/>
    <w:rsid w:val="002F1807"/>
    <w:rsid w:val="00322A3B"/>
    <w:rsid w:val="00327C72"/>
    <w:rsid w:val="00330340"/>
    <w:rsid w:val="00332B17"/>
    <w:rsid w:val="003527FF"/>
    <w:rsid w:val="0035587D"/>
    <w:rsid w:val="00360562"/>
    <w:rsid w:val="00366D96"/>
    <w:rsid w:val="00382887"/>
    <w:rsid w:val="00397AA1"/>
    <w:rsid w:val="003B24E8"/>
    <w:rsid w:val="003D3274"/>
    <w:rsid w:val="003E0B68"/>
    <w:rsid w:val="004010DE"/>
    <w:rsid w:val="00407BA9"/>
    <w:rsid w:val="00407BB7"/>
    <w:rsid w:val="00412511"/>
    <w:rsid w:val="004310AE"/>
    <w:rsid w:val="004701BE"/>
    <w:rsid w:val="004B2626"/>
    <w:rsid w:val="004C14A4"/>
    <w:rsid w:val="004D3995"/>
    <w:rsid w:val="004F5A33"/>
    <w:rsid w:val="00500A1B"/>
    <w:rsid w:val="00523F88"/>
    <w:rsid w:val="005325EF"/>
    <w:rsid w:val="0054040E"/>
    <w:rsid w:val="005420F8"/>
    <w:rsid w:val="00545A0C"/>
    <w:rsid w:val="005717F3"/>
    <w:rsid w:val="00582A68"/>
    <w:rsid w:val="00591855"/>
    <w:rsid w:val="005A3694"/>
    <w:rsid w:val="005A3D17"/>
    <w:rsid w:val="005B5BE2"/>
    <w:rsid w:val="005D03B7"/>
    <w:rsid w:val="005D04C0"/>
    <w:rsid w:val="005E4C82"/>
    <w:rsid w:val="005F49EA"/>
    <w:rsid w:val="006119B2"/>
    <w:rsid w:val="00626F31"/>
    <w:rsid w:val="00674E04"/>
    <w:rsid w:val="00684A05"/>
    <w:rsid w:val="00684EE3"/>
    <w:rsid w:val="006924F5"/>
    <w:rsid w:val="006C1562"/>
    <w:rsid w:val="006E213E"/>
    <w:rsid w:val="006F215D"/>
    <w:rsid w:val="006F2165"/>
    <w:rsid w:val="00707B5C"/>
    <w:rsid w:val="0071285D"/>
    <w:rsid w:val="00716CB6"/>
    <w:rsid w:val="0072607D"/>
    <w:rsid w:val="00745CDB"/>
    <w:rsid w:val="00752E96"/>
    <w:rsid w:val="00772547"/>
    <w:rsid w:val="00775972"/>
    <w:rsid w:val="00783E69"/>
    <w:rsid w:val="00785039"/>
    <w:rsid w:val="00793D83"/>
    <w:rsid w:val="0079669C"/>
    <w:rsid w:val="007C4A46"/>
    <w:rsid w:val="007D4675"/>
    <w:rsid w:val="00814A29"/>
    <w:rsid w:val="008265CB"/>
    <w:rsid w:val="0086552A"/>
    <w:rsid w:val="008705E8"/>
    <w:rsid w:val="0087530D"/>
    <w:rsid w:val="008B071C"/>
    <w:rsid w:val="008B45EF"/>
    <w:rsid w:val="008C34AE"/>
    <w:rsid w:val="008F0761"/>
    <w:rsid w:val="00930B5E"/>
    <w:rsid w:val="009314C4"/>
    <w:rsid w:val="00940B14"/>
    <w:rsid w:val="0096092A"/>
    <w:rsid w:val="009665ED"/>
    <w:rsid w:val="009714CE"/>
    <w:rsid w:val="0098423A"/>
    <w:rsid w:val="00990A08"/>
    <w:rsid w:val="00993188"/>
    <w:rsid w:val="009A79DB"/>
    <w:rsid w:val="009E095C"/>
    <w:rsid w:val="009F33A1"/>
    <w:rsid w:val="00A224B7"/>
    <w:rsid w:val="00A31BF8"/>
    <w:rsid w:val="00AB4B89"/>
    <w:rsid w:val="00AD38FA"/>
    <w:rsid w:val="00AD3FEF"/>
    <w:rsid w:val="00B00EE8"/>
    <w:rsid w:val="00B03B43"/>
    <w:rsid w:val="00B152F6"/>
    <w:rsid w:val="00B2307F"/>
    <w:rsid w:val="00B232C8"/>
    <w:rsid w:val="00B44D68"/>
    <w:rsid w:val="00B60A41"/>
    <w:rsid w:val="00B75D08"/>
    <w:rsid w:val="00BC6E1C"/>
    <w:rsid w:val="00BE3C11"/>
    <w:rsid w:val="00BE6F66"/>
    <w:rsid w:val="00BE7555"/>
    <w:rsid w:val="00BF0F30"/>
    <w:rsid w:val="00C06878"/>
    <w:rsid w:val="00C20779"/>
    <w:rsid w:val="00C30075"/>
    <w:rsid w:val="00C33727"/>
    <w:rsid w:val="00C414BC"/>
    <w:rsid w:val="00C424BF"/>
    <w:rsid w:val="00C96391"/>
    <w:rsid w:val="00CB0469"/>
    <w:rsid w:val="00CB543A"/>
    <w:rsid w:val="00CD6B95"/>
    <w:rsid w:val="00D02BE4"/>
    <w:rsid w:val="00D235A2"/>
    <w:rsid w:val="00D44396"/>
    <w:rsid w:val="00D514EA"/>
    <w:rsid w:val="00D561CC"/>
    <w:rsid w:val="00D56B3C"/>
    <w:rsid w:val="00D731F9"/>
    <w:rsid w:val="00D87E9B"/>
    <w:rsid w:val="00D953D1"/>
    <w:rsid w:val="00DA3D58"/>
    <w:rsid w:val="00DB0B85"/>
    <w:rsid w:val="00DC1722"/>
    <w:rsid w:val="00DD6F00"/>
    <w:rsid w:val="00DD743E"/>
    <w:rsid w:val="00DE0447"/>
    <w:rsid w:val="00DE2E9F"/>
    <w:rsid w:val="00DE7123"/>
    <w:rsid w:val="00DF2BE3"/>
    <w:rsid w:val="00E053A2"/>
    <w:rsid w:val="00E51E02"/>
    <w:rsid w:val="00E801C9"/>
    <w:rsid w:val="00E95422"/>
    <w:rsid w:val="00EA30E0"/>
    <w:rsid w:val="00EE4E23"/>
    <w:rsid w:val="00F010DD"/>
    <w:rsid w:val="00F248B6"/>
    <w:rsid w:val="00F24D61"/>
    <w:rsid w:val="00F30602"/>
    <w:rsid w:val="00F618C0"/>
    <w:rsid w:val="00F71EF1"/>
    <w:rsid w:val="00F9452F"/>
    <w:rsid w:val="00F96560"/>
    <w:rsid w:val="00FC3F74"/>
    <w:rsid w:val="00FC4576"/>
    <w:rsid w:val="00FD0FDD"/>
    <w:rsid w:val="00FD6E6B"/>
    <w:rsid w:val="00FF5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C2DF"/>
  <w15:docId w15:val="{0F3AF8AD-BB5E-4CA6-9640-9E8D6DCB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uiPriority w:val="9"/>
    <w:qFormat/>
    <w:pPr>
      <w:keepNext/>
      <w:outlineLvl w:val="0"/>
    </w:pPr>
    <w:rPr>
      <w:sz w:val="24"/>
    </w:rPr>
  </w:style>
  <w:style w:type="paragraph" w:styleId="Antrat2">
    <w:name w:val="heading 2"/>
    <w:basedOn w:val="Standard"/>
    <w:next w:val="Textbody"/>
    <w:uiPriority w:val="9"/>
    <w:semiHidden/>
    <w:unhideWhenUsed/>
    <w:qFormat/>
    <w:pPr>
      <w:keepNext/>
      <w:outlineLvl w:val="1"/>
    </w:pPr>
    <w:rPr>
      <w:b/>
      <w:sz w:val="24"/>
    </w:rPr>
  </w:style>
  <w:style w:type="paragraph" w:styleId="Antrat3">
    <w:name w:val="heading 3"/>
    <w:basedOn w:val="Standard"/>
    <w:next w:val="Textbody"/>
    <w:uiPriority w:val="9"/>
    <w:semiHidden/>
    <w:unhideWhenUsed/>
    <w:qFormat/>
    <w:pPr>
      <w:keepNext/>
      <w:jc w:val="center"/>
      <w:outlineLvl w:val="2"/>
    </w:pPr>
    <w:rPr>
      <w:sz w:val="24"/>
    </w:rPr>
  </w:style>
  <w:style w:type="paragraph" w:styleId="Antrat4">
    <w:name w:val="heading 4"/>
    <w:basedOn w:val="Standard"/>
    <w:next w:val="Textbody"/>
    <w:uiPriority w:val="9"/>
    <w:semiHidden/>
    <w:unhideWhenUsed/>
    <w:qFormat/>
    <w:pPr>
      <w:keepNext/>
      <w:jc w:val="both"/>
      <w:outlineLvl w:val="3"/>
    </w:pPr>
    <w:rPr>
      <w:sz w:val="24"/>
    </w:rPr>
  </w:style>
  <w:style w:type="paragraph" w:styleId="Antrat5">
    <w:name w:val="heading 5"/>
    <w:basedOn w:val="Standard"/>
    <w:next w:val="Textbody"/>
    <w:uiPriority w:val="9"/>
    <w:semiHidden/>
    <w:unhideWhenUsed/>
    <w:qFormat/>
    <w:pPr>
      <w:keepNext/>
      <w:ind w:left="5760"/>
      <w:outlineLvl w:val="4"/>
    </w:pPr>
    <w:rPr>
      <w:b/>
      <w:sz w:val="24"/>
    </w:rPr>
  </w:style>
  <w:style w:type="paragraph" w:styleId="Antrat6">
    <w:name w:val="heading 6"/>
    <w:basedOn w:val="Standard"/>
    <w:next w:val="Textbody"/>
    <w:uiPriority w:val="9"/>
    <w:semiHidden/>
    <w:unhideWhenUsed/>
    <w:qFormat/>
    <w:pPr>
      <w:keepNext/>
      <w:jc w:val="both"/>
      <w:outlineLvl w:val="5"/>
    </w:pPr>
    <w:rPr>
      <w:b/>
      <w:color w:val="000000"/>
    </w:rPr>
  </w:style>
  <w:style w:type="paragraph" w:styleId="Antrat7">
    <w:name w:val="heading 7"/>
    <w:basedOn w:val="Standard"/>
    <w:next w:val="Textbody"/>
    <w:pPr>
      <w:keepNext/>
      <w:jc w:val="center"/>
      <w:outlineLvl w:val="6"/>
    </w:pPr>
    <w:rPr>
      <w:b/>
      <w:sz w:val="24"/>
    </w:rPr>
  </w:style>
  <w:style w:type="paragraph" w:styleId="Antrat8">
    <w:name w:val="heading 8"/>
    <w:basedOn w:val="Standard"/>
    <w:next w:val="Textbody"/>
    <w:pPr>
      <w:keepNext/>
      <w:jc w:val="both"/>
      <w:outlineLvl w:val="7"/>
    </w:pPr>
    <w:rPr>
      <w:color w:val="000000"/>
      <w:sz w:val="24"/>
    </w:rPr>
  </w:style>
  <w:style w:type="paragraph" w:styleId="Antrat9">
    <w:name w:val="heading 9"/>
    <w:basedOn w:val="Standard"/>
    <w:next w:val="Textbody"/>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ascii="Times New Roman" w:eastAsia="Times New Roman" w:hAnsi="Times New Roman" w:cs="Times New Roman"/>
      <w:color w:val="00000A"/>
      <w:sz w:val="20"/>
      <w:szCs w:val="20"/>
      <w:lang w:bidi="ar-SA"/>
    </w:rPr>
  </w:style>
  <w:style w:type="paragraph" w:styleId="Pavadinimas">
    <w:name w:val="Title"/>
    <w:basedOn w:val="Standard"/>
    <w:next w:val="Textbody"/>
    <w:uiPriority w:val="10"/>
    <w:qFormat/>
    <w:pPr>
      <w:keepNext/>
      <w:suppressLineNumbers/>
      <w:spacing w:before="120" w:after="120"/>
    </w:pPr>
    <w:rPr>
      <w:rFonts w:ascii="Liberation Sans" w:eastAsia="Droid Sans Fallback" w:hAnsi="Liberation Sans" w:cs="Tahoma"/>
      <w:i/>
      <w:iCs/>
      <w:sz w:val="28"/>
      <w:szCs w:val="28"/>
    </w:rPr>
  </w:style>
  <w:style w:type="paragraph" w:customStyle="1" w:styleId="Textbody">
    <w:name w:val="Text body"/>
    <w:basedOn w:val="Standard"/>
    <w:pPr>
      <w:spacing w:after="120" w:line="288" w:lineRule="auto"/>
      <w:jc w:val="both"/>
    </w:pPr>
    <w:rPr>
      <w:sz w:val="24"/>
    </w:rPr>
  </w:style>
  <w:style w:type="paragraph" w:styleId="Paantrat">
    <w:name w:val="Subtitle"/>
    <w:basedOn w:val="Pavadinimas"/>
    <w:next w:val="Textbody"/>
    <w:uiPriority w:val="11"/>
    <w:qFormat/>
    <w:pPr>
      <w:jc w:val="center"/>
    </w:pPr>
  </w:style>
  <w:style w:type="paragraph" w:styleId="Sraas">
    <w:name w:val="List"/>
    <w:basedOn w:val="Textbody"/>
    <w:rPr>
      <w:rFonts w:cs="Tahoma"/>
    </w:rPr>
  </w:style>
  <w:style w:type="paragraph" w:styleId="Antrat">
    <w:name w:val="caption"/>
    <w:basedOn w:val="Standard"/>
    <w:pPr>
      <w:keepNext/>
      <w:spacing w:before="240" w:after="120"/>
    </w:pPr>
    <w:rPr>
      <w:rFonts w:ascii="Arial" w:eastAsia="Lucida Sans Unicode" w:hAnsi="Arial" w:cs="Tahoma"/>
      <w:sz w:val="28"/>
      <w:szCs w:val="28"/>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ind w:left="283"/>
    </w:pPr>
    <w:rPr>
      <w:sz w:val="24"/>
    </w:rPr>
  </w:style>
  <w:style w:type="paragraph" w:styleId="Porat">
    <w:name w:val="footer"/>
    <w:basedOn w:val="Standard"/>
    <w:pPr>
      <w:suppressLineNumbers/>
      <w:tabs>
        <w:tab w:val="center" w:pos="4819"/>
        <w:tab w:val="right" w:pos="9638"/>
      </w:tabs>
    </w:pPr>
  </w:style>
  <w:style w:type="paragraph" w:styleId="Pagrindinistekstas3">
    <w:name w:val="Body Text 3"/>
    <w:basedOn w:val="Standard"/>
    <w:pPr>
      <w:jc w:val="center"/>
    </w:pPr>
    <w:rPr>
      <w:b/>
      <w:sz w:val="24"/>
    </w:rPr>
  </w:style>
  <w:style w:type="paragraph" w:styleId="Debesliotekstas">
    <w:name w:val="Balloon Text"/>
    <w:basedOn w:val="Standard"/>
    <w:rPr>
      <w:rFonts w:ascii="Tahoma" w:hAnsi="Tahoma" w:cs="Tahoma"/>
      <w:sz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customStyle="1" w:styleId="HeaderandFooter">
    <w:name w:val="Header and Footer"/>
    <w:basedOn w:val="Standard"/>
  </w:style>
  <w:style w:type="paragraph" w:styleId="Antrats">
    <w:name w:val="header"/>
    <w:basedOn w:val="Standard"/>
    <w:pPr>
      <w:suppressLineNumbers/>
      <w:tabs>
        <w:tab w:val="center" w:pos="4819"/>
        <w:tab w:val="right" w:pos="9638"/>
      </w:tabs>
    </w:pPr>
  </w:style>
  <w:style w:type="paragraph" w:styleId="Betarp">
    <w:name w:val="No Spacing"/>
    <w:pPr>
      <w:widowControl/>
    </w:pPr>
    <w:rPr>
      <w:rFonts w:ascii="Times New Roman" w:eastAsia="Times New Roman" w:hAnsi="Times New Roman" w:cs="Times New Roman"/>
      <w:color w:val="00000A"/>
      <w:sz w:val="20"/>
      <w:szCs w:val="20"/>
      <w:lang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character" w:customStyle="1" w:styleId="PagrindinistekstasDiagrama">
    <w:name w:val="Pagrindinis tekstas Diagrama"/>
    <w:basedOn w:val="Numatytasispastraiposriftas"/>
    <w:rPr>
      <w:rFonts w:ascii="Times New Roman" w:eastAsia="Times New Roman" w:hAnsi="Times New Roman" w:cs="Times New Roman"/>
      <w:color w:val="00000A"/>
      <w:szCs w:val="20"/>
      <w:lang w:bidi="ar-SA"/>
    </w:rPr>
  </w:style>
  <w:style w:type="character" w:customStyle="1" w:styleId="AntratsDiagrama">
    <w:name w:val="Antraštės Diagrama"/>
    <w:basedOn w:val="Numatytasispastraiposriftas"/>
    <w:rPr>
      <w:rFonts w:ascii="Times New Roman" w:eastAsia="Times New Roman" w:hAnsi="Times New Roman" w:cs="Times New Roman"/>
      <w:color w:val="00000A"/>
      <w:sz w:val="20"/>
      <w:szCs w:val="20"/>
      <w:lang w:bidi="ar-SA"/>
    </w:rPr>
  </w:style>
  <w:style w:type="character" w:customStyle="1" w:styleId="PoratDiagrama">
    <w:name w:val="Poraštė Diagrama"/>
    <w:basedOn w:val="Numatytasispastraiposriftas"/>
    <w:rPr>
      <w:rFonts w:ascii="Times New Roman" w:eastAsia="Times New Roman" w:hAnsi="Times New Roman" w:cs="Times New Roman"/>
      <w:color w:val="00000A"/>
      <w:sz w:val="20"/>
      <w:szCs w:val="20"/>
      <w:lang w:bidi="ar-SA"/>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1974</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2026-05-05T11:13:00Z</dcterms:created>
  <dc:creator>Architekt. sk.</dc:creator>
  <cp:lastModifiedBy>Toma Kvietkauskaitė</cp:lastModifiedBy>
  <cp:lastPrinted>2021-09-30T08:32:00Z</cp:lastPrinted>
  <dcterms:modified xsi:type="dcterms:W3CDTF">2026-07-16T08:43:00Z</dcterms:modified>
  <cp:revision>19</cp:revision>
  <dc:title>LIETUVOS RESPUBLIKA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